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66460F" w:rsidP="00031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66460F">
              <w:rPr>
                <w:rFonts w:ascii="Century Gothic" w:hAnsi="Century Gothic" w:cs="Tahoma"/>
                <w:b/>
                <w:sz w:val="36"/>
                <w:szCs w:val="36"/>
              </w:rPr>
              <w:t xml:space="preserve">Atención a usuarios e instalación de aplicaciones cliente </w:t>
            </w:r>
            <w:r w:rsidR="00031C42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031C42" w:rsidRPr="0066460F">
              <w:rPr>
                <w:rFonts w:ascii="Century Gothic" w:hAnsi="Century Gothic" w:cs="Tahoma"/>
                <w:b/>
                <w:sz w:val="36"/>
                <w:szCs w:val="36"/>
              </w:rPr>
              <w:t>UF1876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1. Incidencias producidas en la asignación y uso de los servicios y recursos de comunicaciones.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Alarmas y alertas. Significado. 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Herramientas específicas y técnicas de detección de incidencias en sistemas de comunicaciones.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Procedimientos de diagnóstico y reparación de la incidencia. 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incidencias.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Responsabilidad de la operadora.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Incidencias de usuario.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Incidencias del proveedor del servicio.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2. Instalación de aplicaciones de comunicaciones en equipos terminales.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Terminales de comunicaciones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y características.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Sistemas operativos y lenguajes de programación específicos para terminales.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Servicios específicos para terminales.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Aplicaciones de cliente, gestión y configuración.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Implantación y configuración de aplicaciones en terminales. </w:t>
            </w:r>
          </w:p>
          <w:p w:rsidR="0066460F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Pruebas de aplicaciones y servicios instalados.</w:t>
            </w:r>
          </w:p>
          <w:p w:rsidR="009D29DB" w:rsidRPr="0066460F" w:rsidRDefault="0066460F" w:rsidP="0066460F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460F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Redacción de guías de usuario.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3C" w:rsidRDefault="0034503C">
      <w:r>
        <w:separator/>
      </w:r>
    </w:p>
  </w:endnote>
  <w:endnote w:type="continuationSeparator" w:id="0">
    <w:p w:rsidR="0034503C" w:rsidRDefault="0034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AD38C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3C" w:rsidRDefault="0034503C">
      <w:r>
        <w:separator/>
      </w:r>
    </w:p>
  </w:footnote>
  <w:footnote w:type="continuationSeparator" w:id="0">
    <w:p w:rsidR="0034503C" w:rsidRDefault="00345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C7"/>
    <w:rsid w:val="000237BA"/>
    <w:rsid w:val="00031C42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4503C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4E3AC7"/>
    <w:rsid w:val="00511E7A"/>
    <w:rsid w:val="0051305A"/>
    <w:rsid w:val="00571A72"/>
    <w:rsid w:val="005C50BA"/>
    <w:rsid w:val="006131C0"/>
    <w:rsid w:val="00633040"/>
    <w:rsid w:val="0066460F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D38CD"/>
    <w:rsid w:val="00AE40DE"/>
    <w:rsid w:val="00B052AF"/>
    <w:rsid w:val="00B24C72"/>
    <w:rsid w:val="00B51A82"/>
    <w:rsid w:val="00B71381"/>
    <w:rsid w:val="00B8061C"/>
    <w:rsid w:val="00B92BC5"/>
    <w:rsid w:val="00BC45B9"/>
    <w:rsid w:val="00BF14E0"/>
    <w:rsid w:val="00C72668"/>
    <w:rsid w:val="00CA04AF"/>
    <w:rsid w:val="00CB5322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031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1016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2016-12-13T19:12:00Z</dcterms:created>
  <dcterms:modified xsi:type="dcterms:W3CDTF">2016-12-13T19:12:00Z</dcterms:modified>
</cp:coreProperties>
</file>