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650" w:type="dxa"/>
        <w:tblInd w:w="-3312" w:type="dxa"/>
        <w:tblLook w:val="01E0"/>
      </w:tblPr>
      <w:tblGrid>
        <w:gridCol w:w="10650"/>
      </w:tblGrid>
      <w:tr w:rsidR="00997818" w:rsidRPr="00832B66" w:rsidTr="00477B6C">
        <w:trPr>
          <w:trHeight w:hRule="exact" w:val="1324"/>
        </w:trPr>
        <w:tc>
          <w:tcPr>
            <w:tcW w:w="10650" w:type="dxa"/>
            <w:vAlign w:val="center"/>
          </w:tcPr>
          <w:p w:rsidR="0080235A" w:rsidRPr="00895BC7" w:rsidRDefault="00477B6C" w:rsidP="00477B6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477B6C">
              <w:rPr>
                <w:rFonts w:ascii="Century Gothic" w:hAnsi="Century Gothic" w:cs="Tahoma"/>
                <w:b/>
                <w:sz w:val="36"/>
                <w:szCs w:val="36"/>
              </w:rPr>
              <w:t>Administración y monitorización de los SGBD</w:t>
            </w:r>
            <w:r w:rsidR="002D7906" w:rsidRPr="00477B6C">
              <w:rPr>
                <w:rFonts w:ascii="Century Gothic" w:hAnsi="Century Gothic" w:cs="Tahoma"/>
                <w:b/>
                <w:sz w:val="36"/>
                <w:szCs w:val="36"/>
              </w:rPr>
              <w:t xml:space="preserve"> </w:t>
            </w:r>
            <w:r w:rsidR="004126A8" w:rsidRPr="00477B6C">
              <w:rPr>
                <w:rFonts w:ascii="Century Gothic" w:hAnsi="Century Gothic" w:cs="Tahoma"/>
                <w:b/>
                <w:sz w:val="36"/>
                <w:szCs w:val="36"/>
              </w:rPr>
              <w:t>(</w:t>
            </w:r>
            <w:r w:rsidR="00805C89" w:rsidRPr="00477B6C">
              <w:rPr>
                <w:rFonts w:ascii="Century Gothic" w:hAnsi="Century Gothic" w:cs="Tahoma"/>
                <w:b/>
                <w:sz w:val="36"/>
                <w:szCs w:val="36"/>
              </w:rPr>
              <w:t>UF1470</w:t>
            </w:r>
            <w:r w:rsidR="00CA04AF" w:rsidRPr="00477B6C">
              <w:rPr>
                <w:rFonts w:ascii="Century Gothic" w:hAnsi="Century Gothic" w:cs="Tahoma"/>
                <w:b/>
                <w:sz w:val="36"/>
                <w:szCs w:val="36"/>
              </w:rPr>
              <w:t>)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477B6C" w:rsidRPr="00477B6C" w:rsidRDefault="00477B6C" w:rsidP="00805C8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477B6C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1. Administración del SGBD (todos los puntos deben verse al menos con dos SGBD clasificados de forma distinta)</w:t>
            </w: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1.1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Análisis de las funciones del administrador del SGB.</w:t>
            </w: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1.2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Identificación de los diferentes tipos de usuarios que se relacionan con el SGBD así como las principales demandas de estos usuarios.</w:t>
            </w: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1.3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Identificación de las tareas administrativas más comunes a realizar. </w:t>
            </w: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1.4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Aplicación en al menos dos SGBD actuales clasificados de forma distinta: </w:t>
            </w: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1.4.1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Creación de una BD. </w:t>
            </w: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1.4.2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Arranque y paradas. </w:t>
            </w: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1.4.3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Análisis del plan de ejecución de consultas y sus posibles optimizaciones. </w:t>
            </w: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1.4.4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Gestión de colas y procesos.</w:t>
            </w: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1.4.5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Identificación y selección de las herramientas administrativas que permitan las tareas administrativas más comunes.</w:t>
            </w: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1.5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Enumeración y descripción de las herramientas administrativas disponibles según el SGBD.</w:t>
            </w: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1.6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Desarrollo de un supuesto práctico en el que se apliquen las tareas administrativas vistas anteriormente desde diferentes herramientas de gestión.</w:t>
            </w: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1.7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Identificación y localización de los mecanismos que proveen los SGBD seleccionados para planificar las tareas administrativas: </w:t>
            </w: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1.8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Definición de las diferentes técnicas de planificación de tareas.</w:t>
            </w: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1.9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Empleo de las herramientas de planificación del SGBD para realizar algunas de las tareas de administración más comunes.</w:t>
            </w: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1.10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Desarrollo de un supuesto práctico en el que se planifiquen las tareas administrativas más comunes en función de las necesidades de la organización.</w:t>
            </w: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477B6C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2. Construcción de guiones para la administración del SGBD y las BBDD</w:t>
            </w: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2.1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Clasificación de los tipos y determinación de sus ventajas e inconvenientes así como su uso normal de aplicación de guiones: </w:t>
            </w: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2.1.1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Guiones simples. </w:t>
            </w: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2.1.2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Procedimientos almacenados. </w:t>
            </w: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2.1.3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Disparadores.</w:t>
            </w: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2.2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Determinación de los lenguajes de programación disponibles que posibiliten la construcción de guiones administrativos para el SGBD.</w:t>
            </w: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2.3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Selección de un lenguaje de programación y realización de algunos guiones administrativos que pongan de manifiesto los tipos de datos, estructuras de control y estructuras funcionales del lenguaje seleccionado.</w:t>
            </w: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2.4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Identificación y localización de las librerías básicas disponibles para los diferentes lenguajes de programación disponibles. Empleo en algún guión administrativo.</w:t>
            </w: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2.5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Desarrollo de una serie de supuestos prácticos que impliquen desde la selección del lenguaje, desarrollo del guión hasta la prueba, puesta en marcha y documentación de los guiones para realizar algunas de las tareas administrativas vistas anteriormente.</w:t>
            </w: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477B6C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3. Monitorización y ajuste del rendimiento del SGBD </w:t>
            </w: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3.1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Identificación de los factores y parámetros que influyen en el rendimiento.</w:t>
            </w: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3.2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Selección de las herramientas que permiten la monitorización del SGBD: </w:t>
            </w: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3.3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Ficheros de </w:t>
            </w:r>
            <w:proofErr w:type="spellStart"/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logs</w:t>
            </w:r>
            <w:proofErr w:type="spellEnd"/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. </w:t>
            </w: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3.4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Disparadores de alertas. </w:t>
            </w: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3.5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Otros elementos de monitorización del SGBD.</w:t>
            </w: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3.5.1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Optimización de la disponibilidad de memoria física del computador atendiendo a los requerimientos de carga del SGBD. </w:t>
            </w: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61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3.5.1.1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Optimización de consultas SQL y planes de ejecución.</w:t>
            </w: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3.6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Optimización del acceso a disco y distribución de los datos en uno o varios discos físicos en función de los requerimientos de la carga del SGB.</w:t>
            </w: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3.7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Anticipación de los posibles escenarios en función de los datos observados en la monitorización y enumerar posibles medidas correctivas:</w:t>
            </w: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477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3.7.1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Desarrollo de un supuesto práctico para ajustar un SGBD no optimizado y sus elementos subyacentes para que se adecue a los criterios de la organización. </w:t>
            </w: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477B6C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4. Descripción de los SGBD distribuidos</w:t>
            </w: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4.1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Concepto de SGBD distribuido.</w:t>
            </w: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4.2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Principales ventajas e inconvenientes.</w:t>
            </w: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4.3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Características esperadas en un SGBD distribuido.</w:t>
            </w: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4.4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Clasificación de los SGBD distribuidos según los criterios de:</w:t>
            </w: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4.5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Distribución de los datos.</w:t>
            </w: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4.6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Tipo de los SGBD locales.</w:t>
            </w: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4.7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Autonomía de los nodos.</w:t>
            </w: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4.8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Descripción de los componentes:</w:t>
            </w: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4.9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Procesadores locales.</w:t>
            </w: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4.10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Procesadores distribuidos.</w:t>
            </w: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4.11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Diccionario global.</w:t>
            </w:r>
          </w:p>
          <w:p w:rsidR="00477B6C" w:rsidRPr="00477B6C" w:rsidRDefault="00477B6C" w:rsidP="00477B6C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9D29DB" w:rsidRPr="006F0875" w:rsidRDefault="00477B6C" w:rsidP="00477B6C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Polo11K-Buch"/>
                <w:sz w:val="22"/>
                <w:szCs w:val="22"/>
              </w:rPr>
            </w:pP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4.12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477B6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Enumeración y explicación de las reglas de DATE para SGBD distribuidos.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35A" w:rsidRDefault="0080235A">
      <w:r>
        <w:separator/>
      </w:r>
    </w:p>
  </w:endnote>
  <w:endnote w:type="continuationSeparator" w:id="1">
    <w:p w:rsidR="0080235A" w:rsidRDefault="00802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EB3D90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35A" w:rsidRDefault="0080235A">
      <w:r>
        <w:separator/>
      </w:r>
    </w:p>
  </w:footnote>
  <w:footnote w:type="continuationSeparator" w:id="1">
    <w:p w:rsidR="0080235A" w:rsidRDefault="008023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6A8"/>
    <w:rsid w:val="000237BA"/>
    <w:rsid w:val="00042E07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927A4"/>
    <w:rsid w:val="002D7906"/>
    <w:rsid w:val="002E5E98"/>
    <w:rsid w:val="002F1037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77B6C"/>
    <w:rsid w:val="004B3AA9"/>
    <w:rsid w:val="004C27B3"/>
    <w:rsid w:val="004D00FA"/>
    <w:rsid w:val="004D78BD"/>
    <w:rsid w:val="00511E7A"/>
    <w:rsid w:val="0051305A"/>
    <w:rsid w:val="00571A72"/>
    <w:rsid w:val="006131C0"/>
    <w:rsid w:val="00633040"/>
    <w:rsid w:val="006E2580"/>
    <w:rsid w:val="006F0875"/>
    <w:rsid w:val="00734FAA"/>
    <w:rsid w:val="00757E95"/>
    <w:rsid w:val="007949A4"/>
    <w:rsid w:val="007B04DA"/>
    <w:rsid w:val="007C5253"/>
    <w:rsid w:val="0080235A"/>
    <w:rsid w:val="00805C89"/>
    <w:rsid w:val="0081388C"/>
    <w:rsid w:val="00832B66"/>
    <w:rsid w:val="00834C0F"/>
    <w:rsid w:val="008525EC"/>
    <w:rsid w:val="008827F8"/>
    <w:rsid w:val="00895BC7"/>
    <w:rsid w:val="008B5790"/>
    <w:rsid w:val="008E5710"/>
    <w:rsid w:val="008F4E9E"/>
    <w:rsid w:val="00910766"/>
    <w:rsid w:val="0092572F"/>
    <w:rsid w:val="00952036"/>
    <w:rsid w:val="00957639"/>
    <w:rsid w:val="00973F1F"/>
    <w:rsid w:val="00997818"/>
    <w:rsid w:val="009D29DB"/>
    <w:rsid w:val="009D7E9F"/>
    <w:rsid w:val="00A1696E"/>
    <w:rsid w:val="00A31C78"/>
    <w:rsid w:val="00A752E0"/>
    <w:rsid w:val="00A778DD"/>
    <w:rsid w:val="00AB7EB6"/>
    <w:rsid w:val="00AE40DE"/>
    <w:rsid w:val="00B052AF"/>
    <w:rsid w:val="00B24C72"/>
    <w:rsid w:val="00B51A82"/>
    <w:rsid w:val="00B71381"/>
    <w:rsid w:val="00B8061C"/>
    <w:rsid w:val="00B92BC5"/>
    <w:rsid w:val="00BC45B9"/>
    <w:rsid w:val="00BF14E0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B3D90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477B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77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596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4152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Balbino Merino</cp:lastModifiedBy>
  <cp:revision>3</cp:revision>
  <cp:lastPrinted>2014-01-21T10:18:00Z</cp:lastPrinted>
  <dcterms:created xsi:type="dcterms:W3CDTF">2015-04-29T16:55:00Z</dcterms:created>
  <dcterms:modified xsi:type="dcterms:W3CDTF">2015-12-18T18:28:00Z</dcterms:modified>
</cp:coreProperties>
</file>