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E90951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E90951">
              <w:rPr>
                <w:rFonts w:ascii="Century Gothic" w:hAnsi="Century Gothic" w:cs="Tahoma"/>
                <w:b/>
                <w:sz w:val="34"/>
                <w:szCs w:val="34"/>
              </w:rPr>
              <w:t>CONTABILIDAD PREVISIONAL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4214A3" w:rsidRPr="00816E63" w:rsidRDefault="00E90951" w:rsidP="00283B7E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proofErr w:type="spellStart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Analizar</w:t>
            </w:r>
            <w:proofErr w:type="spellEnd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preveer</w:t>
            </w:r>
            <w:proofErr w:type="spellEnd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la </w:t>
            </w:r>
            <w:proofErr w:type="spellStart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contabilidad</w:t>
            </w:r>
            <w:proofErr w:type="spellEnd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la empresa.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283B7E" w:rsidRPr="00E90951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90951" w:rsidRPr="00E90951" w:rsidRDefault="00E90951" w:rsidP="00E90951">
            <w:pPr>
              <w:pStyle w:val="Pa65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1. Análisis de los diferentes Métodos de </w:t>
            </w:r>
            <w:proofErr w:type="spellStart"/>
            <w:r w:rsidRPr="00E9095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Presupuestación</w:t>
            </w:r>
            <w:proofErr w:type="spellEnd"/>
            <w:r w:rsidRPr="00E9095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.</w:t>
            </w:r>
          </w:p>
          <w:p w:rsidR="00E90951" w:rsidRPr="00E90951" w:rsidRDefault="00E90951" w:rsidP="00E90951">
            <w:pPr>
              <w:pStyle w:val="Pa66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1.1Presupuestos Rígidos y Presupuestos Flexibles.</w:t>
            </w:r>
          </w:p>
          <w:p w:rsidR="00E90951" w:rsidRPr="00E90951" w:rsidRDefault="00E90951" w:rsidP="00E90951">
            <w:pPr>
              <w:pStyle w:val="Pa67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1.1.1Presupuesto Fijo. </w:t>
            </w:r>
          </w:p>
          <w:p w:rsidR="00E90951" w:rsidRPr="00E90951" w:rsidRDefault="00E90951" w:rsidP="00E90951">
            <w:pPr>
              <w:pStyle w:val="Pa67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1.1.2Presupuesto Proporcional a niveles de actividad.</w:t>
            </w:r>
          </w:p>
          <w:p w:rsidR="00E90951" w:rsidRPr="00E90951" w:rsidRDefault="00E90951" w:rsidP="00E90951">
            <w:pPr>
              <w:pStyle w:val="Pa66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1.2Balance de Situación Previsional.</w:t>
            </w:r>
          </w:p>
          <w:p w:rsidR="00E90951" w:rsidRPr="00E90951" w:rsidRDefault="00E90951" w:rsidP="00E90951">
            <w:pPr>
              <w:pStyle w:val="Pa67"/>
              <w:spacing w:line="221" w:lineRule="atLeast"/>
              <w:ind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1.2.1Procedimiento de elaboración. </w:t>
            </w:r>
          </w:p>
          <w:p w:rsidR="00E90951" w:rsidRPr="00E90951" w:rsidRDefault="00E90951" w:rsidP="00E90951">
            <w:pPr>
              <w:pStyle w:val="Pa66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1.3Cuenta de Resultados Previsional.</w:t>
            </w:r>
          </w:p>
          <w:p w:rsidR="00E90951" w:rsidRPr="00E90951" w:rsidRDefault="00E90951" w:rsidP="00E90951">
            <w:pPr>
              <w:pStyle w:val="Pa67"/>
              <w:spacing w:line="221" w:lineRule="atLeast"/>
              <w:ind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1.3.1Procedimiento de elaboración. </w:t>
            </w:r>
            <w:r w:rsidRPr="00E90951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90951" w:rsidRPr="00E90951" w:rsidRDefault="00E90951" w:rsidP="00E90951">
            <w:pPr>
              <w:pStyle w:val="Pa66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1.4Presupuesto de Tesorería.</w:t>
            </w:r>
            <w:r w:rsidRPr="00E90951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90951" w:rsidRPr="00E90951" w:rsidRDefault="00E90951" w:rsidP="00E90951">
            <w:pPr>
              <w:pStyle w:val="Pa98"/>
              <w:spacing w:line="221" w:lineRule="atLeast"/>
              <w:ind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1.4.1Procedimiento de elaboración. </w:t>
            </w:r>
            <w:r w:rsidRPr="00E90951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90951" w:rsidRPr="00E90951" w:rsidRDefault="00E90951" w:rsidP="00E90951">
            <w:pPr>
              <w:pStyle w:val="Pa65"/>
              <w:spacing w:line="221" w:lineRule="atLeast"/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  <w:p w:rsidR="00E90951" w:rsidRPr="00E90951" w:rsidRDefault="00E90951" w:rsidP="00E90951">
            <w:pPr>
              <w:pStyle w:val="Pa65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2. Análisis de Desviaciones.</w:t>
            </w:r>
          </w:p>
          <w:p w:rsidR="00E90951" w:rsidRPr="00E90951" w:rsidRDefault="00E90951" w:rsidP="00E90951">
            <w:pPr>
              <w:pStyle w:val="Pa66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2.1Concepto de Desviación y Tipología.</w:t>
            </w:r>
            <w:r w:rsidRPr="00E90951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90951" w:rsidRPr="00E90951" w:rsidRDefault="00E90951" w:rsidP="00E90951">
            <w:pPr>
              <w:pStyle w:val="Pa67"/>
              <w:spacing w:line="221" w:lineRule="atLeast"/>
              <w:ind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2.1.1Resultado Real / Resultado Previsto. </w:t>
            </w:r>
            <w:r w:rsidRPr="00E90951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90951" w:rsidRPr="00E90951" w:rsidRDefault="00E90951" w:rsidP="00E90951">
            <w:pPr>
              <w:pStyle w:val="Pa66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2.2Origen de Desviaciones.</w:t>
            </w:r>
          </w:p>
          <w:p w:rsidR="00E90951" w:rsidRPr="00E90951" w:rsidRDefault="00E90951" w:rsidP="00E90951">
            <w:pPr>
              <w:pStyle w:val="Pa67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2.2.1Desviaciones por causas internas.</w:t>
            </w:r>
            <w:r w:rsidRPr="00E90951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90951" w:rsidRPr="00E90951" w:rsidRDefault="00E90951" w:rsidP="00E90951">
            <w:pPr>
              <w:pStyle w:val="Pa67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2.2.2Desviaciones por causas externas.</w:t>
            </w:r>
          </w:p>
          <w:p w:rsidR="00E90951" w:rsidRPr="00E90951" w:rsidRDefault="00E90951" w:rsidP="00E90951">
            <w:pPr>
              <w:pStyle w:val="Pa67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2.2.3Desviaciones aleatorias.</w:t>
            </w:r>
          </w:p>
          <w:p w:rsidR="00E90951" w:rsidRPr="00E90951" w:rsidRDefault="00E90951" w:rsidP="00E90951">
            <w:pPr>
              <w:pStyle w:val="Pa66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2.3Medidas correctoras para restablecer el Equilibrio Presupuestario.</w:t>
            </w:r>
          </w:p>
          <w:p w:rsidR="00E90951" w:rsidRPr="00E90951" w:rsidRDefault="00E90951" w:rsidP="00E90951">
            <w:pPr>
              <w:pStyle w:val="Pa67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2.3.1Identificación de las causas. </w:t>
            </w:r>
          </w:p>
          <w:p w:rsidR="00E90951" w:rsidRPr="00E90951" w:rsidRDefault="00E90951" w:rsidP="00E90951">
            <w:pPr>
              <w:pStyle w:val="Pa67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2.3.2Delimitación de responsabilidad.</w:t>
            </w:r>
          </w:p>
          <w:p w:rsidR="00E90951" w:rsidRPr="00E90951" w:rsidRDefault="00E90951" w:rsidP="00E90951">
            <w:pPr>
              <w:pStyle w:val="Pa9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2.3.3Corrección de Variables.</w:t>
            </w:r>
          </w:p>
          <w:p w:rsidR="00E90951" w:rsidRPr="00E90951" w:rsidRDefault="00E90951" w:rsidP="00E90951">
            <w:pPr>
              <w:pStyle w:val="Pa65"/>
              <w:spacing w:line="221" w:lineRule="atLeast"/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  <w:p w:rsidR="00E90951" w:rsidRPr="00E90951" w:rsidRDefault="00E90951" w:rsidP="00E90951">
            <w:pPr>
              <w:pStyle w:val="Pa65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3. Planificación Financiera.</w:t>
            </w:r>
          </w:p>
          <w:p w:rsidR="00E90951" w:rsidRPr="00E90951" w:rsidRDefault="00E90951" w:rsidP="00E90951">
            <w:pPr>
              <w:pStyle w:val="Pa66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3.1Plan de Inversiones y Financiación a largo plazo.</w:t>
            </w:r>
          </w:p>
          <w:p w:rsidR="00E90951" w:rsidRPr="00E90951" w:rsidRDefault="00E90951" w:rsidP="00E90951">
            <w:pPr>
              <w:pStyle w:val="Pa67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3.1.1Inversiones de Inmovilizado. </w:t>
            </w:r>
          </w:p>
          <w:p w:rsidR="00E90951" w:rsidRPr="00E90951" w:rsidRDefault="00E90951" w:rsidP="00E90951">
            <w:pPr>
              <w:pStyle w:val="Pa67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3.1.2Inversiones de Circulante.</w:t>
            </w:r>
          </w:p>
          <w:p w:rsidR="00E90951" w:rsidRPr="00E90951" w:rsidRDefault="00E90951" w:rsidP="00E90951">
            <w:pPr>
              <w:pStyle w:val="Pa67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3.1.3Financiación y sus fuentes.</w:t>
            </w:r>
          </w:p>
          <w:p w:rsidR="00E90951" w:rsidRPr="00E90951" w:rsidRDefault="00E90951" w:rsidP="00E90951">
            <w:pPr>
              <w:pStyle w:val="Pa66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3.2Balances de Situación previsionales a largo plazo.</w:t>
            </w:r>
          </w:p>
          <w:p w:rsidR="00E90951" w:rsidRPr="00E90951" w:rsidRDefault="00E90951" w:rsidP="00E90951">
            <w:pPr>
              <w:pStyle w:val="Pa67"/>
              <w:spacing w:line="221" w:lineRule="atLeast"/>
              <w:ind w:firstLine="708"/>
              <w:jc w:val="both"/>
              <w:rPr>
                <w:rStyle w:val="A8"/>
                <w:rFonts w:ascii="Century Gothic" w:hAnsi="Century Gothic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3.2.1Procedimiento de elaboración. </w:t>
            </w:r>
          </w:p>
          <w:p w:rsidR="00E90951" w:rsidRPr="00E90951" w:rsidRDefault="00E90951" w:rsidP="00E90951">
            <w:pPr>
              <w:pStyle w:val="Pa66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3.3Cuentas de Resultados previsionales a largo plazo.</w:t>
            </w:r>
          </w:p>
          <w:p w:rsidR="00E90951" w:rsidRPr="00E90951" w:rsidRDefault="00E90951" w:rsidP="00E90951">
            <w:pPr>
              <w:pStyle w:val="Pa67"/>
              <w:spacing w:line="221" w:lineRule="atLeast"/>
              <w:ind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3.3.1Procedimiento de elaboración. </w:t>
            </w:r>
          </w:p>
          <w:p w:rsidR="00E90951" w:rsidRPr="00E90951" w:rsidRDefault="00E90951" w:rsidP="00E90951">
            <w:pPr>
              <w:pStyle w:val="Pa66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90951">
              <w:rPr>
                <w:rFonts w:ascii="Century Gothic" w:hAnsi="Century Gothic"/>
                <w:color w:val="000000"/>
                <w:sz w:val="22"/>
                <w:szCs w:val="22"/>
              </w:rPr>
              <w:t>3.4Presupuesto de Tesorería a largo plazo.</w:t>
            </w:r>
          </w:p>
          <w:p w:rsidR="00E90951" w:rsidRPr="00E90951" w:rsidRDefault="00E90951" w:rsidP="00E90951">
            <w:pPr>
              <w:spacing w:line="221" w:lineRule="atLeast"/>
              <w:ind w:firstLine="708"/>
              <w:rPr>
                <w:rFonts w:ascii="Century Gothic" w:hAnsi="Century Gothic" w:cs="Arial"/>
                <w:sz w:val="22"/>
                <w:szCs w:val="22"/>
              </w:rPr>
            </w:pPr>
            <w:r w:rsidRPr="00E90951">
              <w:rPr>
                <w:rFonts w:ascii="Century Gothic" w:hAnsi="Century Gothic" w:cs="Arial"/>
                <w:color w:val="000000"/>
                <w:sz w:val="22"/>
                <w:szCs w:val="22"/>
              </w:rPr>
              <w:t>3.4.1Procedimiento de elaboración.</w:t>
            </w:r>
          </w:p>
          <w:p w:rsidR="009D29DB" w:rsidRPr="00E90951" w:rsidRDefault="009D29DB" w:rsidP="00283B7E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49" w:rsidRDefault="00147149">
      <w:r>
        <w:separator/>
      </w:r>
    </w:p>
  </w:endnote>
  <w:endnote w:type="continuationSeparator" w:id="1">
    <w:p w:rsidR="00147149" w:rsidRDefault="0014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C36A50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49" w:rsidRDefault="00147149">
      <w:r>
        <w:separator/>
      </w:r>
    </w:p>
  </w:footnote>
  <w:footnote w:type="continuationSeparator" w:id="1">
    <w:p w:rsidR="00147149" w:rsidRDefault="0014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A50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47149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827F8"/>
    <w:rsid w:val="00895BC7"/>
    <w:rsid w:val="008B5790"/>
    <w:rsid w:val="008E5710"/>
    <w:rsid w:val="008F4E9E"/>
    <w:rsid w:val="00910766"/>
    <w:rsid w:val="0092572F"/>
    <w:rsid w:val="00927327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36A50"/>
    <w:rsid w:val="00C4725B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90951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customStyle="1" w:styleId="Pa65">
    <w:name w:val="Pa65"/>
    <w:basedOn w:val="Normal"/>
    <w:next w:val="Normal"/>
    <w:uiPriority w:val="99"/>
    <w:rsid w:val="00E90951"/>
    <w:pPr>
      <w:autoSpaceDE w:val="0"/>
      <w:autoSpaceDN w:val="0"/>
      <w:adjustRightInd w:val="0"/>
      <w:spacing w:line="201" w:lineRule="atLeast"/>
    </w:pPr>
    <w:rPr>
      <w:rFonts w:ascii="Arial" w:eastAsiaTheme="minorEastAsia" w:hAnsi="Arial" w:cs="Arial"/>
    </w:rPr>
  </w:style>
  <w:style w:type="paragraph" w:customStyle="1" w:styleId="Pa66">
    <w:name w:val="Pa66"/>
    <w:basedOn w:val="Normal"/>
    <w:next w:val="Normal"/>
    <w:uiPriority w:val="99"/>
    <w:rsid w:val="00E90951"/>
    <w:pPr>
      <w:autoSpaceDE w:val="0"/>
      <w:autoSpaceDN w:val="0"/>
      <w:adjustRightInd w:val="0"/>
      <w:spacing w:line="201" w:lineRule="atLeast"/>
    </w:pPr>
    <w:rPr>
      <w:rFonts w:ascii="Arial" w:eastAsiaTheme="minorEastAsia" w:hAnsi="Arial" w:cs="Arial"/>
    </w:rPr>
  </w:style>
  <w:style w:type="character" w:customStyle="1" w:styleId="A8">
    <w:name w:val="A8"/>
    <w:uiPriority w:val="99"/>
    <w:rsid w:val="00E90951"/>
    <w:rPr>
      <w:rFonts w:ascii="Tahoma" w:hAnsi="Tahoma" w:cs="Tahoma"/>
      <w:color w:val="000000"/>
      <w:sz w:val="20"/>
      <w:szCs w:val="20"/>
    </w:rPr>
  </w:style>
  <w:style w:type="paragraph" w:customStyle="1" w:styleId="Pa67">
    <w:name w:val="Pa67"/>
    <w:basedOn w:val="Normal"/>
    <w:next w:val="Normal"/>
    <w:uiPriority w:val="99"/>
    <w:rsid w:val="00E90951"/>
    <w:pPr>
      <w:autoSpaceDE w:val="0"/>
      <w:autoSpaceDN w:val="0"/>
      <w:adjustRightInd w:val="0"/>
      <w:spacing w:line="201" w:lineRule="atLeast"/>
    </w:pPr>
    <w:rPr>
      <w:rFonts w:ascii="Arial" w:eastAsiaTheme="minorEastAsia" w:hAnsi="Arial" w:cs="Arial"/>
    </w:rPr>
  </w:style>
  <w:style w:type="paragraph" w:customStyle="1" w:styleId="Pa98">
    <w:name w:val="Pa98"/>
    <w:basedOn w:val="Normal"/>
    <w:next w:val="Normal"/>
    <w:uiPriority w:val="99"/>
    <w:rsid w:val="00E90951"/>
    <w:pPr>
      <w:autoSpaceDE w:val="0"/>
      <w:autoSpaceDN w:val="0"/>
      <w:adjustRightInd w:val="0"/>
      <w:spacing w:line="201" w:lineRule="atLeas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Jesus\CATALOGO%20GENERAL\PLANTILLA%20TEMAR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TEMARIOS.dotx</Template>
  <TotalTime>3</TotalTime>
  <Pages>1</Pages>
  <Words>150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1390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Jesus Carranza</cp:lastModifiedBy>
  <cp:revision>2</cp:revision>
  <cp:lastPrinted>2014-01-21T10:18:00Z</cp:lastPrinted>
  <dcterms:created xsi:type="dcterms:W3CDTF">2017-06-22T15:40:00Z</dcterms:created>
  <dcterms:modified xsi:type="dcterms:W3CDTF">2017-09-07T16:07:00Z</dcterms:modified>
</cp:coreProperties>
</file>