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73" w:rsidRPr="00A1696E" w:rsidRDefault="00264573">
      <w:pPr>
        <w:widowControl w:val="0"/>
        <w:autoSpaceDE w:val="0"/>
        <w:autoSpaceDN w:val="0"/>
        <w:adjustRightInd w:val="0"/>
        <w:jc w:val="both"/>
        <w:rPr>
          <w:rFonts w:ascii="Century Gothic" w:hAnsi="Century Gothic" w:cs="Tahoma"/>
          <w:sz w:val="36"/>
          <w:szCs w:val="36"/>
        </w:rPr>
      </w:pPr>
    </w:p>
    <w:tbl>
      <w:tblPr>
        <w:tblW w:w="10080" w:type="dxa"/>
        <w:tblInd w:w="-3312" w:type="dxa"/>
        <w:tblBorders>
          <w:bottom w:val="single" w:sz="12" w:space="0" w:color="auto"/>
        </w:tblBorders>
        <w:tblLook w:val="01E0"/>
      </w:tblPr>
      <w:tblGrid>
        <w:gridCol w:w="10080"/>
      </w:tblGrid>
      <w:tr w:rsidR="00380DCE" w:rsidRPr="00832B66">
        <w:trPr>
          <w:trHeight w:hRule="exact" w:val="1531"/>
        </w:trPr>
        <w:tc>
          <w:tcPr>
            <w:tcW w:w="10080" w:type="dxa"/>
          </w:tcPr>
          <w:p w:rsidR="00380DCE" w:rsidRPr="00832B66" w:rsidRDefault="00CA04AF" w:rsidP="00832B66">
            <w:pPr>
              <w:widowControl w:val="0"/>
              <w:autoSpaceDE w:val="0"/>
              <w:autoSpaceDN w:val="0"/>
              <w:adjustRightInd w:val="0"/>
              <w:jc w:val="center"/>
              <w:rPr>
                <w:rFonts w:ascii="Century Gothic" w:hAnsi="Century Gothic" w:cs="Tahoma"/>
                <w:sz w:val="22"/>
                <w:szCs w:val="36"/>
              </w:rPr>
            </w:pPr>
            <w:r>
              <w:rPr>
                <w:rFonts w:ascii="Century Gothic" w:hAnsi="Century Gothic" w:cs="Tahoma"/>
                <w:noProof/>
                <w:sz w:val="22"/>
                <w:szCs w:val="36"/>
              </w:rPr>
              <w:drawing>
                <wp:inline distT="0" distB="0" distL="0" distR="0">
                  <wp:extent cx="4105275" cy="590550"/>
                  <wp:effectExtent l="19050" t="0" r="9525" b="0"/>
                  <wp:docPr id="1" name="Imagen 1" descr="Logo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ucion"/>
                          <pic:cNvPicPr>
                            <a:picLocks noChangeAspect="1" noChangeArrowheads="1"/>
                          </pic:cNvPicPr>
                        </pic:nvPicPr>
                        <pic:blipFill>
                          <a:blip r:embed="rId7" cstate="print"/>
                          <a:srcRect/>
                          <a:stretch>
                            <a:fillRect/>
                          </a:stretch>
                        </pic:blipFill>
                        <pic:spPr bwMode="auto">
                          <a:xfrm>
                            <a:off x="0" y="0"/>
                            <a:ext cx="4105275" cy="590550"/>
                          </a:xfrm>
                          <a:prstGeom prst="rect">
                            <a:avLst/>
                          </a:prstGeom>
                          <a:noFill/>
                          <a:ln w="9525">
                            <a:noFill/>
                            <a:miter lim="800000"/>
                            <a:headEnd/>
                            <a:tailEnd/>
                          </a:ln>
                        </pic:spPr>
                      </pic:pic>
                    </a:graphicData>
                  </a:graphic>
                </wp:inline>
              </w:drawing>
            </w:r>
          </w:p>
        </w:tc>
      </w:tr>
    </w:tbl>
    <w:p w:rsidR="00380DCE" w:rsidRPr="00A1696E" w:rsidRDefault="00380DCE">
      <w:pPr>
        <w:rPr>
          <w:rFonts w:ascii="Century Gothic" w:hAnsi="Century Gothic"/>
        </w:rPr>
      </w:pPr>
    </w:p>
    <w:tbl>
      <w:tblPr>
        <w:tblW w:w="10080" w:type="dxa"/>
        <w:tblInd w:w="-3312" w:type="dxa"/>
        <w:tblLook w:val="01E0"/>
      </w:tblPr>
      <w:tblGrid>
        <w:gridCol w:w="10080"/>
      </w:tblGrid>
      <w:tr w:rsidR="00380DCE" w:rsidRPr="00832B66">
        <w:tc>
          <w:tcPr>
            <w:tcW w:w="10080" w:type="dxa"/>
          </w:tcPr>
          <w:p w:rsidR="00380DCE" w:rsidRPr="00832B66" w:rsidRDefault="00195EFA" w:rsidP="00F479A2">
            <w:pPr>
              <w:widowControl w:val="0"/>
              <w:autoSpaceDE w:val="0"/>
              <w:autoSpaceDN w:val="0"/>
              <w:adjustRightInd w:val="0"/>
              <w:rPr>
                <w:rFonts w:ascii="Century Gothic" w:hAnsi="Century Gothic" w:cs="Tahoma"/>
                <w:sz w:val="22"/>
                <w:szCs w:val="36"/>
                <w:lang w:val="en-GB"/>
              </w:rPr>
            </w:pPr>
            <w:r w:rsidRPr="00832B66">
              <w:rPr>
                <w:rFonts w:ascii="Century Gothic" w:hAnsi="Century Gothic" w:cs="Tahoma"/>
                <w:szCs w:val="36"/>
                <w:lang w:val="en-GB"/>
              </w:rPr>
              <w:t xml:space="preserve"> </w:t>
            </w:r>
            <w:r w:rsidR="00A1696E" w:rsidRPr="00832B66">
              <w:rPr>
                <w:rFonts w:ascii="Century Gothic" w:hAnsi="Century Gothic" w:cs="Tahoma"/>
                <w:szCs w:val="36"/>
                <w:lang w:val="en-GB"/>
              </w:rPr>
              <w:t xml:space="preserve">Curso </w:t>
            </w:r>
            <w:r w:rsidR="00F479A2">
              <w:rPr>
                <w:rFonts w:ascii="Century Gothic" w:hAnsi="Century Gothic" w:cs="Tahoma"/>
                <w:szCs w:val="36"/>
                <w:lang w:val="en-GB"/>
              </w:rPr>
              <w:t>On Line</w:t>
            </w:r>
          </w:p>
        </w:tc>
      </w:tr>
    </w:tbl>
    <w:p w:rsidR="002E5E98" w:rsidRPr="00257920" w:rsidRDefault="002E5E98">
      <w:pPr>
        <w:rPr>
          <w:rFonts w:ascii="Century Gothic" w:hAnsi="Century Gothic"/>
          <w:sz w:val="4"/>
          <w:lang w:val="en-GB"/>
        </w:rPr>
      </w:pPr>
    </w:p>
    <w:tbl>
      <w:tblPr>
        <w:tblW w:w="10080" w:type="dxa"/>
        <w:tblInd w:w="-3312" w:type="dxa"/>
        <w:tblLook w:val="01E0"/>
      </w:tblPr>
      <w:tblGrid>
        <w:gridCol w:w="10080"/>
      </w:tblGrid>
      <w:tr w:rsidR="00997818" w:rsidRPr="00832B66" w:rsidTr="0080235A">
        <w:trPr>
          <w:trHeight w:hRule="exact" w:val="1324"/>
        </w:trPr>
        <w:tc>
          <w:tcPr>
            <w:tcW w:w="10080" w:type="dxa"/>
            <w:vAlign w:val="center"/>
          </w:tcPr>
          <w:p w:rsidR="0080235A" w:rsidRPr="00895BC7" w:rsidRDefault="006D0748" w:rsidP="001C0495">
            <w:pPr>
              <w:widowControl w:val="0"/>
              <w:autoSpaceDE w:val="0"/>
              <w:autoSpaceDN w:val="0"/>
              <w:adjustRightInd w:val="0"/>
              <w:rPr>
                <w:rFonts w:ascii="Century Gothic" w:hAnsi="Century Gothic" w:cs="Tahoma"/>
                <w:b/>
                <w:sz w:val="36"/>
                <w:szCs w:val="36"/>
              </w:rPr>
            </w:pPr>
            <w:r>
              <w:rPr>
                <w:rFonts w:ascii="Century Gothic" w:hAnsi="Century Gothic" w:cs="Tahoma"/>
                <w:b/>
                <w:sz w:val="36"/>
                <w:szCs w:val="36"/>
              </w:rPr>
              <w:t>Camarero servicio de b</w:t>
            </w:r>
            <w:r w:rsidR="001C0495" w:rsidRPr="001C0495">
              <w:rPr>
                <w:rFonts w:ascii="Century Gothic" w:hAnsi="Century Gothic" w:cs="Tahoma"/>
                <w:b/>
                <w:sz w:val="36"/>
                <w:szCs w:val="36"/>
              </w:rPr>
              <w:t>ar</w:t>
            </w:r>
            <w:r w:rsidR="002D7906">
              <w:rPr>
                <w:rFonts w:ascii="Century Gothic" w:hAnsi="Century Gothic" w:cs="Tahoma"/>
                <w:b/>
                <w:sz w:val="36"/>
                <w:szCs w:val="36"/>
              </w:rPr>
              <w:t xml:space="preserve"> </w:t>
            </w:r>
          </w:p>
        </w:tc>
      </w:tr>
    </w:tbl>
    <w:p w:rsidR="00EC2EFF" w:rsidRPr="00416682" w:rsidRDefault="00EC2EFF">
      <w:pPr>
        <w:rPr>
          <w:rFonts w:ascii="Century Gothic" w:hAnsi="Century Gothic"/>
          <w:sz w:val="16"/>
        </w:rPr>
      </w:pPr>
    </w:p>
    <w:tbl>
      <w:tblPr>
        <w:tblW w:w="10080" w:type="dxa"/>
        <w:tblInd w:w="-3312" w:type="dxa"/>
        <w:tblBorders>
          <w:insideH w:val="single" w:sz="4" w:space="0" w:color="auto"/>
          <w:insideV w:val="single" w:sz="4" w:space="0" w:color="auto"/>
        </w:tblBorders>
        <w:tblLook w:val="01E0"/>
      </w:tblPr>
      <w:tblGrid>
        <w:gridCol w:w="10080"/>
      </w:tblGrid>
      <w:tr w:rsidR="00380DCE" w:rsidRPr="00832B66">
        <w:trPr>
          <w:trHeight w:hRule="exact" w:val="284"/>
        </w:trPr>
        <w:tc>
          <w:tcPr>
            <w:tcW w:w="10080" w:type="dxa"/>
            <w:tcBorders>
              <w:top w:val="nil"/>
              <w:bottom w:val="single" w:sz="12" w:space="0" w:color="auto"/>
            </w:tcBorders>
          </w:tcPr>
          <w:p w:rsidR="00380DCE" w:rsidRPr="00832B66" w:rsidRDefault="00380DCE" w:rsidP="00832B66">
            <w:pPr>
              <w:widowControl w:val="0"/>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Objetivos:</w:t>
            </w:r>
          </w:p>
        </w:tc>
      </w:tr>
      <w:tr w:rsidR="00380DCE" w:rsidRPr="007C5253" w:rsidTr="0080235A">
        <w:trPr>
          <w:trHeight w:val="1333"/>
        </w:trPr>
        <w:tc>
          <w:tcPr>
            <w:tcW w:w="10080" w:type="dxa"/>
            <w:tcBorders>
              <w:top w:val="single" w:sz="12" w:space="0" w:color="auto"/>
            </w:tcBorders>
          </w:tcPr>
          <w:p w:rsidR="001C0495" w:rsidRPr="001C0495" w:rsidRDefault="001C0495" w:rsidP="001C0495">
            <w:pPr>
              <w:shd w:val="clear" w:color="auto" w:fill="FFFFFF"/>
              <w:spacing w:line="300" w:lineRule="atLeast"/>
              <w:jc w:val="both"/>
              <w:textAlignment w:val="baseline"/>
              <w:rPr>
                <w:rFonts w:ascii="Century Gothic" w:hAnsi="Century Gothic" w:cs="Tahoma"/>
                <w:bCs/>
                <w:sz w:val="22"/>
                <w:szCs w:val="23"/>
              </w:rPr>
            </w:pPr>
            <w:r w:rsidRPr="001C0495">
              <w:rPr>
                <w:rFonts w:ascii="Century Gothic" w:hAnsi="Century Gothic" w:cs="Tahoma"/>
                <w:bCs/>
                <w:sz w:val="22"/>
                <w:szCs w:val="23"/>
              </w:rPr>
              <w:t>Dotar a los trabajadores de la formación necesaria que les capacite y prepare para desarrollar competencias y cualificaciones en puestos de trabajo que conlleven responsabilidades, por un lado de programación con el fin de que los trabajadores adquieran los conocimientos necesarios para realizar una correcta y adecuada organización del trabajo y por otro lado, de dirección, ya que los encargados de organizar el trabajo deben tener una correcta formación en la materia con el fin de maximizar los recursos, tanto materiales como humanos, de que dispone la empresa.</w:t>
            </w:r>
          </w:p>
          <w:p w:rsidR="001C0495" w:rsidRDefault="001C0495" w:rsidP="001C0495">
            <w:pPr>
              <w:shd w:val="clear" w:color="auto" w:fill="FFFFFF"/>
              <w:spacing w:line="300" w:lineRule="atLeast"/>
              <w:jc w:val="both"/>
              <w:textAlignment w:val="baseline"/>
              <w:rPr>
                <w:rFonts w:ascii="Century Gothic" w:hAnsi="Century Gothic" w:cs="Tahoma"/>
                <w:bCs/>
                <w:sz w:val="22"/>
                <w:szCs w:val="23"/>
              </w:rPr>
            </w:pPr>
          </w:p>
          <w:p w:rsidR="001C0495" w:rsidRPr="001C0495" w:rsidRDefault="001C0495" w:rsidP="001C0495">
            <w:pPr>
              <w:shd w:val="clear" w:color="auto" w:fill="FFFFFF"/>
              <w:spacing w:line="300" w:lineRule="atLeast"/>
              <w:jc w:val="both"/>
              <w:textAlignment w:val="baseline"/>
              <w:rPr>
                <w:rFonts w:ascii="Century Gothic" w:hAnsi="Century Gothic" w:cs="Tahoma"/>
                <w:bCs/>
                <w:sz w:val="22"/>
                <w:szCs w:val="23"/>
              </w:rPr>
            </w:pPr>
            <w:r w:rsidRPr="001C0495">
              <w:rPr>
                <w:rFonts w:ascii="Century Gothic" w:hAnsi="Century Gothic" w:cs="Tahoma"/>
                <w:bCs/>
                <w:sz w:val="22"/>
                <w:szCs w:val="23"/>
              </w:rPr>
              <w:t>Facultar al trabajador para asesorar a los clientes sobre los productos ofrecidos de modo que se adapte a las expectativas del cliente y a los intereses económicos del establecimiento de hostelería.</w:t>
            </w:r>
          </w:p>
          <w:p w:rsidR="001C0495" w:rsidRPr="001C0495" w:rsidRDefault="001C0495" w:rsidP="001C0495">
            <w:pPr>
              <w:shd w:val="clear" w:color="auto" w:fill="FFFFFF"/>
              <w:spacing w:line="300" w:lineRule="atLeast"/>
              <w:jc w:val="both"/>
              <w:textAlignment w:val="baseline"/>
              <w:rPr>
                <w:rFonts w:ascii="Century Gothic" w:hAnsi="Century Gothic" w:cs="Tahoma"/>
                <w:bCs/>
                <w:sz w:val="22"/>
                <w:szCs w:val="23"/>
              </w:rPr>
            </w:pPr>
          </w:p>
          <w:p w:rsidR="004214A3" w:rsidRPr="007C5253" w:rsidRDefault="001C0495" w:rsidP="001C0495">
            <w:pPr>
              <w:shd w:val="clear" w:color="auto" w:fill="FFFFFF"/>
              <w:spacing w:line="300" w:lineRule="atLeast"/>
              <w:jc w:val="both"/>
              <w:textAlignment w:val="baseline"/>
              <w:rPr>
                <w:rFonts w:ascii="Century Gothic" w:hAnsi="Century Gothic" w:cs="Arial"/>
                <w:sz w:val="22"/>
                <w:szCs w:val="22"/>
              </w:rPr>
            </w:pPr>
            <w:r w:rsidRPr="001C0495">
              <w:rPr>
                <w:rFonts w:ascii="Century Gothic" w:hAnsi="Century Gothic" w:cs="Tahoma"/>
                <w:bCs/>
                <w:sz w:val="22"/>
                <w:szCs w:val="23"/>
              </w:rPr>
              <w:t>Capacitar al trabajador para el comportamiento frente al cliente en las situaciones que puedan surgir en el desarrollo de su actividad.</w:t>
            </w:r>
          </w:p>
        </w:tc>
      </w:tr>
    </w:tbl>
    <w:p w:rsidR="00380DCE" w:rsidRPr="00164EC8" w:rsidRDefault="00380DCE">
      <w:pPr>
        <w:rPr>
          <w:rFonts w:ascii="Century Gothic" w:hAnsi="Century Gothic"/>
          <w:sz w:val="22"/>
          <w:szCs w:val="22"/>
        </w:rPr>
      </w:pPr>
    </w:p>
    <w:tbl>
      <w:tblPr>
        <w:tblW w:w="10083" w:type="dxa"/>
        <w:tblInd w:w="-3312" w:type="dxa"/>
        <w:tblLook w:val="01E0"/>
      </w:tblPr>
      <w:tblGrid>
        <w:gridCol w:w="10083"/>
      </w:tblGrid>
      <w:tr w:rsidR="00BF14E0" w:rsidRPr="00832B66" w:rsidTr="004B3AA9">
        <w:tc>
          <w:tcPr>
            <w:tcW w:w="10083" w:type="dxa"/>
          </w:tcPr>
          <w:p w:rsidR="00BF14E0" w:rsidRPr="00832B66" w:rsidRDefault="00257920" w:rsidP="004B3AA9">
            <w:pPr>
              <w:widowControl w:val="0"/>
              <w:pBdr>
                <w:bottom w:val="single" w:sz="12" w:space="1" w:color="auto"/>
              </w:pBdr>
              <w:autoSpaceDE w:val="0"/>
              <w:autoSpaceDN w:val="0"/>
              <w:adjustRightInd w:val="0"/>
              <w:jc w:val="both"/>
              <w:rPr>
                <w:rFonts w:ascii="Century Gothic" w:hAnsi="Century Gothic" w:cs="Tahoma"/>
                <w:b/>
                <w:sz w:val="22"/>
                <w:szCs w:val="36"/>
              </w:rPr>
            </w:pPr>
            <w:r w:rsidRPr="00832B66">
              <w:rPr>
                <w:rFonts w:ascii="Century Gothic" w:hAnsi="Century Gothic" w:cs="Tahoma"/>
                <w:b/>
                <w:szCs w:val="36"/>
              </w:rPr>
              <w:t>Temario</w:t>
            </w:r>
            <w:r w:rsidR="00EC2EFF" w:rsidRPr="00832B66">
              <w:rPr>
                <w:rFonts w:ascii="Century Gothic" w:hAnsi="Century Gothic" w:cs="Tahoma"/>
                <w:b/>
                <w:szCs w:val="36"/>
              </w:rPr>
              <w:t>:</w:t>
            </w:r>
          </w:p>
        </w:tc>
      </w:tr>
      <w:tr w:rsidR="00C72668" w:rsidRPr="007C5253" w:rsidTr="004B3AA9">
        <w:tc>
          <w:tcPr>
            <w:tcW w:w="10083" w:type="dxa"/>
          </w:tcPr>
          <w:p w:rsid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Bloque I</w:t>
            </w:r>
            <w:r w:rsidRPr="001C0495">
              <w:rPr>
                <w:rFonts w:ascii="Century Gothic" w:hAnsi="Century Gothic" w:cs="Arial"/>
                <w:b/>
                <w:sz w:val="22"/>
                <w:szCs w:val="20"/>
                <w:bdr w:val="none" w:sz="0" w:space="0" w:color="auto" w:frame="1"/>
                <w:shd w:val="clear" w:color="auto" w:fill="FFFFFF"/>
              </w:rPr>
              <w:br/>
              <w:t>Tema 1. La restauración</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1.1. Conceptos generales </w:t>
            </w:r>
            <w:r w:rsidRPr="001C0495">
              <w:rPr>
                <w:rFonts w:ascii="Century Gothic" w:hAnsi="Century Gothic" w:cs="Arial"/>
                <w:sz w:val="22"/>
                <w:szCs w:val="20"/>
                <w:bdr w:val="none" w:sz="0" w:space="0" w:color="auto" w:frame="1"/>
                <w:shd w:val="clear" w:color="auto" w:fill="FFFFFF"/>
              </w:rPr>
              <w:br/>
              <w:t xml:space="preserve">1.2. Evolución del sector de la restauración </w:t>
            </w:r>
            <w:r w:rsidRPr="001C0495">
              <w:rPr>
                <w:rFonts w:ascii="Century Gothic" w:hAnsi="Century Gothic" w:cs="Arial"/>
                <w:sz w:val="22"/>
                <w:szCs w:val="20"/>
                <w:bdr w:val="none" w:sz="0" w:space="0" w:color="auto" w:frame="1"/>
                <w:shd w:val="clear" w:color="auto" w:fill="FFFFFF"/>
              </w:rPr>
              <w:br/>
              <w:t xml:space="preserve">1.3. Definición y clasificación de los establecimientos de restauración </w:t>
            </w:r>
            <w:r w:rsidRPr="001C0495">
              <w:rPr>
                <w:rFonts w:ascii="Century Gothic" w:hAnsi="Century Gothic" w:cs="Arial"/>
                <w:sz w:val="22"/>
                <w:szCs w:val="20"/>
                <w:bdr w:val="none" w:sz="0" w:space="0" w:color="auto" w:frame="1"/>
                <w:shd w:val="clear" w:color="auto" w:fill="FFFFFF"/>
              </w:rPr>
              <w:br/>
              <w:t xml:space="preserve">1.4. Organización de los restaurantes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2. La brigada</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2.1. La brigada </w:t>
            </w:r>
            <w:r w:rsidRPr="001C0495">
              <w:rPr>
                <w:rFonts w:ascii="Century Gothic" w:hAnsi="Century Gothic" w:cs="Arial"/>
                <w:sz w:val="22"/>
                <w:szCs w:val="20"/>
                <w:bdr w:val="none" w:sz="0" w:space="0" w:color="auto" w:frame="1"/>
                <w:shd w:val="clear" w:color="auto" w:fill="FFFFFF"/>
              </w:rPr>
              <w:br/>
              <w:t xml:space="preserve">2.2. El servicio de mostrador. Clases y características </w:t>
            </w:r>
            <w:r w:rsidRPr="001C0495">
              <w:rPr>
                <w:rFonts w:ascii="Century Gothic" w:hAnsi="Century Gothic" w:cs="Arial"/>
                <w:sz w:val="22"/>
                <w:szCs w:val="20"/>
                <w:bdr w:val="none" w:sz="0" w:space="0" w:color="auto" w:frame="1"/>
                <w:shd w:val="clear" w:color="auto" w:fill="FFFFFF"/>
              </w:rPr>
              <w:br/>
              <w:t xml:space="preserve">2.3. Los uniformes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3. La mise en place. Protocolo. La comanda</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3.1. La mise en place </w:t>
            </w:r>
            <w:r w:rsidRPr="001C0495">
              <w:rPr>
                <w:rFonts w:ascii="Century Gothic" w:hAnsi="Century Gothic" w:cs="Arial"/>
                <w:sz w:val="22"/>
                <w:szCs w:val="20"/>
                <w:bdr w:val="none" w:sz="0" w:space="0" w:color="auto" w:frame="1"/>
                <w:shd w:val="clear" w:color="auto" w:fill="FFFFFF"/>
              </w:rPr>
              <w:br/>
              <w:t xml:space="preserve">3.2. Desarrollo del servicio en el comedor </w:t>
            </w:r>
            <w:r w:rsidRPr="001C0495">
              <w:rPr>
                <w:rFonts w:ascii="Century Gothic" w:hAnsi="Century Gothic" w:cs="Arial"/>
                <w:sz w:val="22"/>
                <w:szCs w:val="20"/>
                <w:bdr w:val="none" w:sz="0" w:space="0" w:color="auto" w:frame="1"/>
                <w:shd w:val="clear" w:color="auto" w:fill="FFFFFF"/>
              </w:rPr>
              <w:br/>
              <w:t xml:space="preserve">3.3. Tipos de servicio </w:t>
            </w:r>
            <w:r w:rsidRPr="001C0495">
              <w:rPr>
                <w:rFonts w:ascii="Century Gothic" w:hAnsi="Century Gothic" w:cs="Arial"/>
                <w:sz w:val="22"/>
                <w:szCs w:val="20"/>
                <w:bdr w:val="none" w:sz="0" w:space="0" w:color="auto" w:frame="1"/>
                <w:shd w:val="clear" w:color="auto" w:fill="FFFFFF"/>
              </w:rPr>
              <w:br/>
              <w:t xml:space="preserve">3.4. Normas de protocolo </w:t>
            </w:r>
            <w:r w:rsidRPr="001C0495">
              <w:rPr>
                <w:rFonts w:ascii="Century Gothic" w:hAnsi="Century Gothic" w:cs="Arial"/>
                <w:sz w:val="22"/>
                <w:szCs w:val="20"/>
                <w:bdr w:val="none" w:sz="0" w:space="0" w:color="auto" w:frame="1"/>
                <w:shd w:val="clear" w:color="auto" w:fill="FFFFFF"/>
              </w:rPr>
              <w:br/>
              <w:t xml:space="preserve">3.5. Servicio de vinos y licores </w:t>
            </w:r>
            <w:r w:rsidRPr="001C0495">
              <w:rPr>
                <w:rFonts w:ascii="Century Gothic" w:hAnsi="Century Gothic" w:cs="Arial"/>
                <w:sz w:val="22"/>
                <w:szCs w:val="20"/>
                <w:bdr w:val="none" w:sz="0" w:space="0" w:color="auto" w:frame="1"/>
                <w:shd w:val="clear" w:color="auto" w:fill="FFFFFF"/>
              </w:rPr>
              <w:br/>
              <w:t xml:space="preserve">3.6. La mise en place del bar </w:t>
            </w:r>
            <w:r w:rsidRPr="001C0495">
              <w:rPr>
                <w:rFonts w:ascii="Century Gothic" w:hAnsi="Century Gothic" w:cs="Arial"/>
                <w:sz w:val="22"/>
                <w:szCs w:val="20"/>
                <w:bdr w:val="none" w:sz="0" w:space="0" w:color="auto" w:frame="1"/>
                <w:shd w:val="clear" w:color="auto" w:fill="FFFFFF"/>
              </w:rPr>
              <w:br/>
              <w:t xml:space="preserve">3.7. El servicio en la barra o mostrador </w:t>
            </w:r>
            <w:r w:rsidRPr="001C0495">
              <w:rPr>
                <w:rFonts w:ascii="Century Gothic" w:hAnsi="Century Gothic" w:cs="Arial"/>
                <w:sz w:val="22"/>
                <w:szCs w:val="20"/>
                <w:bdr w:val="none" w:sz="0" w:space="0" w:color="auto" w:frame="1"/>
                <w:shd w:val="clear" w:color="auto" w:fill="FFFFFF"/>
              </w:rPr>
              <w:br/>
              <w:t xml:space="preserve">3.8. Estudio de tiempos, recorridos y procesos </w:t>
            </w:r>
            <w:r w:rsidRPr="001C0495">
              <w:rPr>
                <w:rFonts w:ascii="Century Gothic" w:hAnsi="Century Gothic" w:cs="Arial"/>
                <w:sz w:val="22"/>
                <w:szCs w:val="20"/>
                <w:bdr w:val="none" w:sz="0" w:space="0" w:color="auto" w:frame="1"/>
                <w:shd w:val="clear" w:color="auto" w:fill="FFFFFF"/>
              </w:rPr>
              <w:br/>
              <w:t xml:space="preserve">3.9. Control de calidad </w:t>
            </w:r>
            <w:r w:rsidRPr="001C0495">
              <w:rPr>
                <w:rFonts w:ascii="Century Gothic" w:hAnsi="Century Gothic" w:cs="Arial"/>
                <w:sz w:val="22"/>
                <w:szCs w:val="20"/>
                <w:bdr w:val="none" w:sz="0" w:space="0" w:color="auto" w:frame="1"/>
                <w:shd w:val="clear" w:color="auto" w:fill="FFFFFF"/>
              </w:rPr>
              <w:br/>
            </w:r>
            <w:r w:rsidRPr="001C0495">
              <w:rPr>
                <w:rFonts w:ascii="Century Gothic" w:hAnsi="Century Gothic" w:cs="Arial"/>
                <w:sz w:val="22"/>
                <w:szCs w:val="20"/>
                <w:bdr w:val="none" w:sz="0" w:space="0" w:color="auto" w:frame="1"/>
                <w:shd w:val="clear" w:color="auto" w:fill="FFFFFF"/>
              </w:rPr>
              <w:lastRenderedPageBreak/>
              <w:t xml:space="preserve">3.10. La comanda </w:t>
            </w:r>
            <w:r w:rsidRPr="001C0495">
              <w:rPr>
                <w:rFonts w:ascii="Century Gothic" w:hAnsi="Century Gothic" w:cs="Arial"/>
                <w:sz w:val="22"/>
                <w:szCs w:val="20"/>
                <w:bdr w:val="none" w:sz="0" w:space="0" w:color="auto" w:frame="1"/>
                <w:shd w:val="clear" w:color="auto" w:fill="FFFFFF"/>
              </w:rPr>
              <w:br/>
            </w:r>
          </w:p>
          <w:p w:rsid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4. El mobiliario y el material de trabajo</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4.1. El mobiliario principal y el auxiliar </w:t>
            </w:r>
            <w:r w:rsidRPr="001C0495">
              <w:rPr>
                <w:rFonts w:ascii="Century Gothic" w:hAnsi="Century Gothic" w:cs="Arial"/>
                <w:sz w:val="22"/>
                <w:szCs w:val="20"/>
                <w:bdr w:val="none" w:sz="0" w:space="0" w:color="auto" w:frame="1"/>
                <w:shd w:val="clear" w:color="auto" w:fill="FFFFFF"/>
              </w:rPr>
              <w:br/>
              <w:t xml:space="preserve">4.2. El material de trabajo </w:t>
            </w:r>
            <w:r w:rsidRPr="001C0495">
              <w:rPr>
                <w:rFonts w:ascii="Century Gothic" w:hAnsi="Century Gothic" w:cs="Arial"/>
                <w:sz w:val="22"/>
                <w:szCs w:val="20"/>
                <w:bdr w:val="none" w:sz="0" w:space="0" w:color="auto" w:frame="1"/>
                <w:shd w:val="clear" w:color="auto" w:fill="FFFFFF"/>
              </w:rPr>
              <w:br/>
              <w:t xml:space="preserve">4.3. Instalaciones y maquinaria de bar </w:t>
            </w:r>
            <w:r w:rsidRPr="001C0495">
              <w:rPr>
                <w:rFonts w:ascii="Century Gothic" w:hAnsi="Century Gothic" w:cs="Arial"/>
                <w:sz w:val="22"/>
                <w:szCs w:val="20"/>
                <w:bdr w:val="none" w:sz="0" w:space="0" w:color="auto" w:frame="1"/>
                <w:shd w:val="clear" w:color="auto" w:fill="FFFFFF"/>
              </w:rPr>
              <w:br/>
              <w:t xml:space="preserve">4.4. Nuevas tecnologías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5. Salsas empleadas en el bar o la cafetería</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5.1. Salsas </w:t>
            </w:r>
            <w:r w:rsidRPr="001C0495">
              <w:rPr>
                <w:rFonts w:ascii="Century Gothic" w:hAnsi="Century Gothic" w:cs="Arial"/>
                <w:sz w:val="22"/>
                <w:szCs w:val="20"/>
                <w:bdr w:val="none" w:sz="0" w:space="0" w:color="auto" w:frame="1"/>
                <w:shd w:val="clear" w:color="auto" w:fill="FFFFFF"/>
              </w:rPr>
              <w:br/>
              <w:t xml:space="preserve">5.2. Otros condimentos </w:t>
            </w:r>
            <w:r w:rsidRPr="001C0495">
              <w:rPr>
                <w:rFonts w:ascii="Century Gothic" w:hAnsi="Century Gothic" w:cs="Arial"/>
                <w:sz w:val="22"/>
                <w:szCs w:val="20"/>
                <w:bdr w:val="none" w:sz="0" w:space="0" w:color="auto" w:frame="1"/>
                <w:shd w:val="clear" w:color="auto" w:fill="FFFFFF"/>
              </w:rPr>
              <w:br/>
              <w:t xml:space="preserve">5.3. El aceite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6. Servicio de bebidas, aperitivos y platos combinados</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6.1. Introducción </w:t>
            </w:r>
            <w:r w:rsidRPr="001C0495">
              <w:rPr>
                <w:rFonts w:ascii="Century Gothic" w:hAnsi="Century Gothic" w:cs="Arial"/>
                <w:sz w:val="22"/>
                <w:szCs w:val="20"/>
                <w:bdr w:val="none" w:sz="0" w:space="0" w:color="auto" w:frame="1"/>
                <w:shd w:val="clear" w:color="auto" w:fill="FFFFFF"/>
              </w:rPr>
              <w:br/>
              <w:t xml:space="preserve">6.2. Servicio en la barra </w:t>
            </w:r>
            <w:r w:rsidRPr="001C0495">
              <w:rPr>
                <w:rFonts w:ascii="Century Gothic" w:hAnsi="Century Gothic" w:cs="Arial"/>
                <w:sz w:val="22"/>
                <w:szCs w:val="20"/>
                <w:bdr w:val="none" w:sz="0" w:space="0" w:color="auto" w:frame="1"/>
                <w:shd w:val="clear" w:color="auto" w:fill="FFFFFF"/>
              </w:rPr>
              <w:br/>
              <w:t xml:space="preserve">6.3. El servicio en las mesas </w:t>
            </w:r>
            <w:r w:rsidRPr="001C0495">
              <w:rPr>
                <w:rFonts w:ascii="Century Gothic" w:hAnsi="Century Gothic" w:cs="Arial"/>
                <w:sz w:val="22"/>
                <w:szCs w:val="20"/>
                <w:bdr w:val="none" w:sz="0" w:space="0" w:color="auto" w:frame="1"/>
                <w:shd w:val="clear" w:color="auto" w:fill="FFFFFF"/>
              </w:rPr>
              <w:br/>
              <w:t xml:space="preserve">6.4. Servicio de aperitivos </w:t>
            </w:r>
            <w:r w:rsidRPr="001C0495">
              <w:rPr>
                <w:rFonts w:ascii="Century Gothic" w:hAnsi="Century Gothic" w:cs="Arial"/>
                <w:sz w:val="22"/>
                <w:szCs w:val="20"/>
                <w:bdr w:val="none" w:sz="0" w:space="0" w:color="auto" w:frame="1"/>
                <w:shd w:val="clear" w:color="auto" w:fill="FFFFFF"/>
              </w:rPr>
              <w:br/>
              <w:t xml:space="preserve">6.5. Servicio de plancha </w:t>
            </w:r>
            <w:r w:rsidRPr="001C0495">
              <w:rPr>
                <w:rFonts w:ascii="Century Gothic" w:hAnsi="Century Gothic" w:cs="Arial"/>
                <w:sz w:val="22"/>
                <w:szCs w:val="20"/>
                <w:bdr w:val="none" w:sz="0" w:space="0" w:color="auto" w:frame="1"/>
                <w:shd w:val="clear" w:color="auto" w:fill="FFFFFF"/>
              </w:rPr>
              <w:br/>
              <w:t xml:space="preserve">6.6. Condiciones básicas de los alimentos en el bar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7. La coctelería</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7.1. Introducción </w:t>
            </w:r>
            <w:r w:rsidRPr="001C0495">
              <w:rPr>
                <w:rFonts w:ascii="Century Gothic" w:hAnsi="Century Gothic" w:cs="Arial"/>
                <w:sz w:val="22"/>
                <w:szCs w:val="20"/>
                <w:bdr w:val="none" w:sz="0" w:space="0" w:color="auto" w:frame="1"/>
                <w:shd w:val="clear" w:color="auto" w:fill="FFFFFF"/>
              </w:rPr>
              <w:br/>
              <w:t xml:space="preserve">7.2. Útiles necesarios en coctelería </w:t>
            </w:r>
            <w:r w:rsidRPr="001C0495">
              <w:rPr>
                <w:rFonts w:ascii="Century Gothic" w:hAnsi="Century Gothic" w:cs="Arial"/>
                <w:sz w:val="22"/>
                <w:szCs w:val="20"/>
                <w:bdr w:val="none" w:sz="0" w:space="0" w:color="auto" w:frame="1"/>
                <w:shd w:val="clear" w:color="auto" w:fill="FFFFFF"/>
              </w:rPr>
              <w:br/>
              <w:t xml:space="preserve">7.3. La estación central </w:t>
            </w:r>
            <w:r w:rsidRPr="001C0495">
              <w:rPr>
                <w:rFonts w:ascii="Century Gothic" w:hAnsi="Century Gothic" w:cs="Arial"/>
                <w:sz w:val="22"/>
                <w:szCs w:val="20"/>
                <w:bdr w:val="none" w:sz="0" w:space="0" w:color="auto" w:frame="1"/>
                <w:shd w:val="clear" w:color="auto" w:fill="FFFFFF"/>
              </w:rPr>
              <w:br/>
              <w:t xml:space="preserve">7.4. Elaboración de los cócteles </w:t>
            </w:r>
            <w:r w:rsidRPr="001C0495">
              <w:rPr>
                <w:rFonts w:ascii="Century Gothic" w:hAnsi="Century Gothic" w:cs="Arial"/>
                <w:sz w:val="22"/>
                <w:szCs w:val="20"/>
                <w:bdr w:val="none" w:sz="0" w:space="0" w:color="auto" w:frame="1"/>
                <w:shd w:val="clear" w:color="auto" w:fill="FFFFFF"/>
              </w:rPr>
              <w:br/>
              <w:t xml:space="preserve">7.5. Elaboración de los cócteles en vaso mezclador </w:t>
            </w:r>
            <w:r w:rsidRPr="001C0495">
              <w:rPr>
                <w:rFonts w:ascii="Century Gothic" w:hAnsi="Century Gothic" w:cs="Arial"/>
                <w:sz w:val="22"/>
                <w:szCs w:val="20"/>
                <w:bdr w:val="none" w:sz="0" w:space="0" w:color="auto" w:frame="1"/>
                <w:shd w:val="clear" w:color="auto" w:fill="FFFFFF"/>
              </w:rPr>
              <w:br/>
              <w:t xml:space="preserve">7.6. Series de coctelería </w:t>
            </w:r>
            <w:r w:rsidRPr="001C0495">
              <w:rPr>
                <w:rFonts w:ascii="Century Gothic" w:hAnsi="Century Gothic" w:cs="Arial"/>
                <w:sz w:val="22"/>
                <w:szCs w:val="20"/>
                <w:bdr w:val="none" w:sz="0" w:space="0" w:color="auto" w:frame="1"/>
                <w:shd w:val="clear" w:color="auto" w:fill="FFFFFF"/>
              </w:rPr>
              <w:br/>
              <w:t xml:space="preserve">7.7. Los vasos de cocktail </w:t>
            </w:r>
            <w:r w:rsidRPr="001C0495">
              <w:rPr>
                <w:rFonts w:ascii="Century Gothic" w:hAnsi="Century Gothic" w:cs="Arial"/>
                <w:sz w:val="22"/>
                <w:szCs w:val="20"/>
                <w:bdr w:val="none" w:sz="0" w:space="0" w:color="auto" w:frame="1"/>
                <w:shd w:val="clear" w:color="auto" w:fill="FFFFFF"/>
              </w:rPr>
              <w:br/>
              <w:t xml:space="preserve">7.8. Recetario básico de coctelería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8. Los vinos</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8.1. Vinos </w:t>
            </w:r>
            <w:r w:rsidRPr="001C0495">
              <w:rPr>
                <w:rFonts w:ascii="Century Gothic" w:hAnsi="Century Gothic" w:cs="Arial"/>
                <w:sz w:val="22"/>
                <w:szCs w:val="20"/>
                <w:bdr w:val="none" w:sz="0" w:space="0" w:color="auto" w:frame="1"/>
                <w:shd w:val="clear" w:color="auto" w:fill="FFFFFF"/>
              </w:rPr>
              <w:br/>
              <w:t xml:space="preserve">8.2. Las uvas y sus componentes </w:t>
            </w:r>
            <w:r w:rsidRPr="001C0495">
              <w:rPr>
                <w:rFonts w:ascii="Century Gothic" w:hAnsi="Century Gothic" w:cs="Arial"/>
                <w:sz w:val="22"/>
                <w:szCs w:val="20"/>
                <w:bdr w:val="none" w:sz="0" w:space="0" w:color="auto" w:frame="1"/>
                <w:shd w:val="clear" w:color="auto" w:fill="FFFFFF"/>
              </w:rPr>
              <w:br/>
              <w:t xml:space="preserve">8.3. Fermentación de la uva y composición del vino </w:t>
            </w:r>
            <w:r w:rsidRPr="001C0495">
              <w:rPr>
                <w:rFonts w:ascii="Century Gothic" w:hAnsi="Century Gothic" w:cs="Arial"/>
                <w:sz w:val="22"/>
                <w:szCs w:val="20"/>
                <w:bdr w:val="none" w:sz="0" w:space="0" w:color="auto" w:frame="1"/>
                <w:shd w:val="clear" w:color="auto" w:fill="FFFFFF"/>
              </w:rPr>
              <w:br/>
              <w:t xml:space="preserve">8.4. Generalidades en la elaboración y clasificación del vino </w:t>
            </w:r>
            <w:r w:rsidRPr="001C0495">
              <w:rPr>
                <w:rFonts w:ascii="Century Gothic" w:hAnsi="Century Gothic" w:cs="Arial"/>
                <w:sz w:val="22"/>
                <w:szCs w:val="20"/>
                <w:bdr w:val="none" w:sz="0" w:space="0" w:color="auto" w:frame="1"/>
                <w:shd w:val="clear" w:color="auto" w:fill="FFFFFF"/>
              </w:rPr>
              <w:br/>
              <w:t xml:space="preserve">8.5. Definición de cada tipo de vino </w:t>
            </w:r>
            <w:r w:rsidRPr="001C0495">
              <w:rPr>
                <w:rFonts w:ascii="Century Gothic" w:hAnsi="Century Gothic" w:cs="Arial"/>
                <w:sz w:val="22"/>
                <w:szCs w:val="20"/>
                <w:bdr w:val="none" w:sz="0" w:space="0" w:color="auto" w:frame="1"/>
                <w:shd w:val="clear" w:color="auto" w:fill="FFFFFF"/>
              </w:rPr>
              <w:br/>
              <w:t xml:space="preserve">8.6. Elaboración y crianza del vino </w:t>
            </w:r>
            <w:r w:rsidRPr="001C0495">
              <w:rPr>
                <w:rFonts w:ascii="Century Gothic" w:hAnsi="Century Gothic" w:cs="Arial"/>
                <w:sz w:val="22"/>
                <w:szCs w:val="20"/>
                <w:bdr w:val="none" w:sz="0" w:space="0" w:color="auto" w:frame="1"/>
                <w:shd w:val="clear" w:color="auto" w:fill="FFFFFF"/>
              </w:rPr>
              <w:br/>
              <w:t xml:space="preserve">8.7. Crianza de los vinos </w:t>
            </w:r>
            <w:r w:rsidRPr="001C0495">
              <w:rPr>
                <w:rFonts w:ascii="Century Gothic" w:hAnsi="Century Gothic" w:cs="Arial"/>
                <w:sz w:val="22"/>
                <w:szCs w:val="20"/>
                <w:bdr w:val="none" w:sz="0" w:space="0" w:color="auto" w:frame="1"/>
                <w:shd w:val="clear" w:color="auto" w:fill="FFFFFF"/>
              </w:rPr>
              <w:br/>
              <w:t xml:space="preserve">8.8. Crianza de los vinos espumosos </w:t>
            </w:r>
            <w:r w:rsidRPr="001C0495">
              <w:rPr>
                <w:rFonts w:ascii="Century Gothic" w:hAnsi="Century Gothic" w:cs="Arial"/>
                <w:sz w:val="22"/>
                <w:szCs w:val="20"/>
                <w:bdr w:val="none" w:sz="0" w:space="0" w:color="auto" w:frame="1"/>
                <w:shd w:val="clear" w:color="auto" w:fill="FFFFFF"/>
              </w:rPr>
              <w:br/>
              <w:t xml:space="preserve">8.9. Servicio de los vinos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Bloque II</w:t>
            </w:r>
            <w:r w:rsidRPr="001C0495">
              <w:rPr>
                <w:rFonts w:ascii="Century Gothic" w:hAnsi="Century Gothic" w:cs="Arial"/>
                <w:b/>
                <w:sz w:val="22"/>
                <w:szCs w:val="20"/>
                <w:bdr w:val="none" w:sz="0" w:space="0" w:color="auto" w:frame="1"/>
                <w:shd w:val="clear" w:color="auto" w:fill="FFFFFF"/>
              </w:rPr>
              <w:br/>
              <w:t>Tema 9. Aguardientes, licores y otras bebidas alcohólicas</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9.1. Introducción: breve historia de la destilación </w:t>
            </w:r>
            <w:r w:rsidRPr="001C0495">
              <w:rPr>
                <w:rFonts w:ascii="Century Gothic" w:hAnsi="Century Gothic" w:cs="Arial"/>
                <w:sz w:val="22"/>
                <w:szCs w:val="20"/>
                <w:bdr w:val="none" w:sz="0" w:space="0" w:color="auto" w:frame="1"/>
                <w:shd w:val="clear" w:color="auto" w:fill="FFFFFF"/>
              </w:rPr>
              <w:br/>
              <w:t xml:space="preserve">9.2. Elaboración de licores y aguardientes </w:t>
            </w:r>
            <w:r w:rsidRPr="001C0495">
              <w:rPr>
                <w:rFonts w:ascii="Century Gothic" w:hAnsi="Century Gothic" w:cs="Arial"/>
                <w:sz w:val="22"/>
                <w:szCs w:val="20"/>
                <w:bdr w:val="none" w:sz="0" w:space="0" w:color="auto" w:frame="1"/>
                <w:shd w:val="clear" w:color="auto" w:fill="FFFFFF"/>
              </w:rPr>
              <w:br/>
              <w:t xml:space="preserve">9.3. Tipos de aguardiente y licor </w:t>
            </w:r>
            <w:r w:rsidRPr="001C0495">
              <w:rPr>
                <w:rFonts w:ascii="Century Gothic" w:hAnsi="Century Gothic" w:cs="Arial"/>
                <w:sz w:val="22"/>
                <w:szCs w:val="20"/>
                <w:bdr w:val="none" w:sz="0" w:space="0" w:color="auto" w:frame="1"/>
                <w:shd w:val="clear" w:color="auto" w:fill="FFFFFF"/>
              </w:rPr>
              <w:br/>
              <w:t xml:space="preserve">9.4. Licores </w:t>
            </w:r>
            <w:r w:rsidRPr="001C0495">
              <w:rPr>
                <w:rFonts w:ascii="Century Gothic" w:hAnsi="Century Gothic" w:cs="Arial"/>
                <w:sz w:val="22"/>
                <w:szCs w:val="20"/>
                <w:bdr w:val="none" w:sz="0" w:space="0" w:color="auto" w:frame="1"/>
                <w:shd w:val="clear" w:color="auto" w:fill="FFFFFF"/>
              </w:rPr>
              <w:br/>
              <w:t xml:space="preserve">9.5. Relación de licores </w:t>
            </w:r>
            <w:r w:rsidRPr="001C0495">
              <w:rPr>
                <w:rFonts w:ascii="Century Gothic" w:hAnsi="Century Gothic" w:cs="Arial"/>
                <w:sz w:val="22"/>
                <w:szCs w:val="20"/>
                <w:bdr w:val="none" w:sz="0" w:space="0" w:color="auto" w:frame="1"/>
                <w:shd w:val="clear" w:color="auto" w:fill="FFFFFF"/>
              </w:rPr>
              <w:br/>
              <w:t xml:space="preserve">9.6. Otras bebidas </w:t>
            </w:r>
            <w:r w:rsidRPr="001C0495">
              <w:rPr>
                <w:rFonts w:ascii="Century Gothic" w:hAnsi="Century Gothic" w:cs="Arial"/>
                <w:sz w:val="22"/>
                <w:szCs w:val="20"/>
                <w:bdr w:val="none" w:sz="0" w:space="0" w:color="auto" w:frame="1"/>
                <w:shd w:val="clear" w:color="auto" w:fill="FFFFFF"/>
              </w:rPr>
              <w:br/>
              <w:t xml:space="preserve">9.7. Servicio de vinos y licores espirituosos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10. Bebidas no alcohólicas</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10.1. El café </w:t>
            </w:r>
            <w:r w:rsidRPr="001C0495">
              <w:rPr>
                <w:rFonts w:ascii="Century Gothic" w:hAnsi="Century Gothic" w:cs="Arial"/>
                <w:sz w:val="22"/>
                <w:szCs w:val="20"/>
                <w:bdr w:val="none" w:sz="0" w:space="0" w:color="auto" w:frame="1"/>
                <w:shd w:val="clear" w:color="auto" w:fill="FFFFFF"/>
              </w:rPr>
              <w:br/>
              <w:t xml:space="preserve">10.2. El té </w:t>
            </w:r>
            <w:r w:rsidRPr="001C0495">
              <w:rPr>
                <w:rFonts w:ascii="Century Gothic" w:hAnsi="Century Gothic" w:cs="Arial"/>
                <w:sz w:val="22"/>
                <w:szCs w:val="20"/>
                <w:bdr w:val="none" w:sz="0" w:space="0" w:color="auto" w:frame="1"/>
                <w:shd w:val="clear" w:color="auto" w:fill="FFFFFF"/>
              </w:rPr>
              <w:br/>
              <w:t xml:space="preserve">10.3. Otras infusiones </w:t>
            </w:r>
            <w:r w:rsidRPr="001C0495">
              <w:rPr>
                <w:rFonts w:ascii="Century Gothic" w:hAnsi="Century Gothic" w:cs="Arial"/>
                <w:sz w:val="22"/>
                <w:szCs w:val="20"/>
                <w:bdr w:val="none" w:sz="0" w:space="0" w:color="auto" w:frame="1"/>
                <w:shd w:val="clear" w:color="auto" w:fill="FFFFFF"/>
              </w:rPr>
              <w:br/>
              <w:t xml:space="preserve">10.4. El cacao </w:t>
            </w:r>
            <w:r w:rsidRPr="001C0495">
              <w:rPr>
                <w:rFonts w:ascii="Century Gothic" w:hAnsi="Century Gothic" w:cs="Arial"/>
                <w:sz w:val="22"/>
                <w:szCs w:val="20"/>
                <w:bdr w:val="none" w:sz="0" w:space="0" w:color="auto" w:frame="1"/>
                <w:shd w:val="clear" w:color="auto" w:fill="FFFFFF"/>
              </w:rPr>
              <w:br/>
            </w:r>
            <w:r w:rsidRPr="001C0495">
              <w:rPr>
                <w:rFonts w:ascii="Century Gothic" w:hAnsi="Century Gothic" w:cs="Arial"/>
                <w:sz w:val="22"/>
                <w:szCs w:val="20"/>
                <w:bdr w:val="none" w:sz="0" w:space="0" w:color="auto" w:frame="1"/>
                <w:shd w:val="clear" w:color="auto" w:fill="FFFFFF"/>
              </w:rPr>
              <w:lastRenderedPageBreak/>
              <w:t xml:space="preserve">10.5. Zumos </w:t>
            </w:r>
            <w:r w:rsidRPr="001C0495">
              <w:rPr>
                <w:rFonts w:ascii="Century Gothic" w:hAnsi="Century Gothic" w:cs="Arial"/>
                <w:sz w:val="22"/>
                <w:szCs w:val="20"/>
                <w:bdr w:val="none" w:sz="0" w:space="0" w:color="auto" w:frame="1"/>
                <w:shd w:val="clear" w:color="auto" w:fill="FFFFFF"/>
              </w:rPr>
              <w:br/>
              <w:t xml:space="preserve">10.6. Refrescos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11. Semifrios y helados</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1</w:t>
            </w:r>
            <w:r w:rsidR="006D0748">
              <w:rPr>
                <w:rFonts w:ascii="Century Gothic" w:hAnsi="Century Gothic" w:cs="Arial"/>
                <w:sz w:val="22"/>
                <w:szCs w:val="20"/>
                <w:bdr w:val="none" w:sz="0" w:space="0" w:color="auto" w:frame="1"/>
                <w:shd w:val="clear" w:color="auto" w:fill="FFFFFF"/>
              </w:rPr>
              <w:t xml:space="preserve">1.1. Introducción </w:t>
            </w:r>
            <w:r w:rsidR="006D0748">
              <w:rPr>
                <w:rFonts w:ascii="Century Gothic" w:hAnsi="Century Gothic" w:cs="Arial"/>
                <w:sz w:val="22"/>
                <w:szCs w:val="20"/>
                <w:bdr w:val="none" w:sz="0" w:space="0" w:color="auto" w:frame="1"/>
                <w:shd w:val="clear" w:color="auto" w:fill="FFFFFF"/>
              </w:rPr>
              <w:br/>
              <w:t>11.2. Semifri</w:t>
            </w:r>
            <w:r w:rsidRPr="001C0495">
              <w:rPr>
                <w:rFonts w:ascii="Century Gothic" w:hAnsi="Century Gothic" w:cs="Arial"/>
                <w:sz w:val="22"/>
                <w:szCs w:val="20"/>
                <w:bdr w:val="none" w:sz="0" w:space="0" w:color="auto" w:frame="1"/>
                <w:shd w:val="clear" w:color="auto" w:fill="FFFFFF"/>
              </w:rPr>
              <w:t xml:space="preserve">os </w:t>
            </w:r>
            <w:r w:rsidRPr="001C0495">
              <w:rPr>
                <w:rFonts w:ascii="Century Gothic" w:hAnsi="Century Gothic" w:cs="Arial"/>
                <w:sz w:val="22"/>
                <w:szCs w:val="20"/>
                <w:bdr w:val="none" w:sz="0" w:space="0" w:color="auto" w:frame="1"/>
                <w:shd w:val="clear" w:color="auto" w:fill="FFFFFF"/>
              </w:rPr>
              <w:br/>
              <w:t xml:space="preserve">11.3. Helados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12. Facturación y cobro</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12.1. El proceso de facturación </w:t>
            </w:r>
            <w:r w:rsidRPr="001C0495">
              <w:rPr>
                <w:rFonts w:ascii="Century Gothic" w:hAnsi="Century Gothic" w:cs="Arial"/>
                <w:sz w:val="22"/>
                <w:szCs w:val="20"/>
                <w:bdr w:val="none" w:sz="0" w:space="0" w:color="auto" w:frame="1"/>
                <w:shd w:val="clear" w:color="auto" w:fill="FFFFFF"/>
              </w:rPr>
              <w:br/>
              <w:t xml:space="preserve">12.2. Liquidaciones </w:t>
            </w:r>
            <w:r w:rsidRPr="001C0495">
              <w:rPr>
                <w:rFonts w:ascii="Century Gothic" w:hAnsi="Century Gothic" w:cs="Arial"/>
                <w:sz w:val="22"/>
                <w:szCs w:val="20"/>
                <w:bdr w:val="none" w:sz="0" w:space="0" w:color="auto" w:frame="1"/>
                <w:shd w:val="clear" w:color="auto" w:fill="FFFFFF"/>
              </w:rPr>
              <w:br/>
              <w:t xml:space="preserve">12.3. Caja del día </w:t>
            </w:r>
            <w:r w:rsidRPr="001C0495">
              <w:rPr>
                <w:rFonts w:ascii="Century Gothic" w:hAnsi="Century Gothic" w:cs="Arial"/>
                <w:sz w:val="22"/>
                <w:szCs w:val="20"/>
                <w:bdr w:val="none" w:sz="0" w:space="0" w:color="auto" w:frame="1"/>
                <w:shd w:val="clear" w:color="auto" w:fill="FFFFFF"/>
              </w:rPr>
              <w:br/>
              <w:t>12.4. Diario de producción e informe de ventas</w:t>
            </w:r>
            <w:r w:rsidRPr="001C0495">
              <w:rPr>
                <w:rFonts w:ascii="Century Gothic" w:hAnsi="Century Gothic" w:cs="Arial"/>
                <w:sz w:val="22"/>
                <w:szCs w:val="20"/>
                <w:bdr w:val="none" w:sz="0" w:space="0" w:color="auto" w:frame="1"/>
                <w:shd w:val="clear" w:color="auto" w:fill="FFFFFF"/>
              </w:rPr>
              <w:br/>
              <w:t xml:space="preserve">12.5. La comanda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13. Atención al cliente</w:t>
            </w:r>
          </w:p>
          <w:p w:rsidR="001C0495" w:rsidRDefault="001C0495" w:rsidP="001C0495">
            <w:pPr>
              <w:autoSpaceDE w:val="0"/>
              <w:autoSpaceDN w:val="0"/>
              <w:adjustRightInd w:val="0"/>
              <w:ind w:left="708"/>
              <w:rPr>
                <w:rFonts w:ascii="Century Gothic" w:hAnsi="Century Gothic" w:cs="Arial"/>
                <w:sz w:val="22"/>
                <w:szCs w:val="20"/>
                <w:bdr w:val="none" w:sz="0" w:space="0" w:color="auto" w:frame="1"/>
                <w:shd w:val="clear" w:color="auto" w:fill="FFFFFF"/>
              </w:rPr>
            </w:pPr>
            <w:r w:rsidRPr="001C0495">
              <w:rPr>
                <w:rFonts w:ascii="Century Gothic" w:hAnsi="Century Gothic" w:cs="Arial"/>
                <w:sz w:val="22"/>
                <w:szCs w:val="20"/>
                <w:bdr w:val="none" w:sz="0" w:space="0" w:color="auto" w:frame="1"/>
                <w:shd w:val="clear" w:color="auto" w:fill="FFFFFF"/>
              </w:rPr>
              <w:t xml:space="preserve">13.1. Características esenciales de la empresa de servicios </w:t>
            </w:r>
            <w:r w:rsidRPr="001C0495">
              <w:rPr>
                <w:rFonts w:ascii="Century Gothic" w:hAnsi="Century Gothic" w:cs="Arial"/>
                <w:sz w:val="22"/>
                <w:szCs w:val="20"/>
                <w:bdr w:val="none" w:sz="0" w:space="0" w:color="auto" w:frame="1"/>
                <w:shd w:val="clear" w:color="auto" w:fill="FFFFFF"/>
              </w:rPr>
              <w:br/>
              <w:t xml:space="preserve">13.2. Tipología de clientes según las circunstancias y los caracteres </w:t>
            </w:r>
            <w:r w:rsidRPr="001C0495">
              <w:rPr>
                <w:rFonts w:ascii="Century Gothic" w:hAnsi="Century Gothic" w:cs="Arial"/>
                <w:sz w:val="22"/>
                <w:szCs w:val="20"/>
                <w:bdr w:val="none" w:sz="0" w:space="0" w:color="auto" w:frame="1"/>
                <w:shd w:val="clear" w:color="auto" w:fill="FFFFFF"/>
              </w:rPr>
              <w:br/>
              <w:t xml:space="preserve">13.3. El personal </w:t>
            </w:r>
            <w:r w:rsidRPr="001C0495">
              <w:rPr>
                <w:rFonts w:ascii="Century Gothic" w:hAnsi="Century Gothic" w:cs="Arial"/>
                <w:sz w:val="22"/>
                <w:szCs w:val="20"/>
                <w:bdr w:val="none" w:sz="0" w:space="0" w:color="auto" w:frame="1"/>
                <w:shd w:val="clear" w:color="auto" w:fill="FFFFFF"/>
              </w:rPr>
              <w:br/>
              <w:t xml:space="preserve">13.4. La comunicación </w:t>
            </w:r>
            <w:r w:rsidRPr="001C0495">
              <w:rPr>
                <w:rFonts w:ascii="Century Gothic" w:hAnsi="Century Gothic" w:cs="Arial"/>
                <w:sz w:val="22"/>
                <w:szCs w:val="20"/>
                <w:bdr w:val="none" w:sz="0" w:space="0" w:color="auto" w:frame="1"/>
                <w:shd w:val="clear" w:color="auto" w:fill="FFFFFF"/>
              </w:rPr>
              <w:br/>
              <w:t xml:space="preserve">13.5. Normas de atención al cliente </w:t>
            </w:r>
            <w:r w:rsidRPr="001C0495">
              <w:rPr>
                <w:rFonts w:ascii="Century Gothic" w:hAnsi="Century Gothic" w:cs="Arial"/>
                <w:sz w:val="22"/>
                <w:szCs w:val="20"/>
                <w:bdr w:val="none" w:sz="0" w:space="0" w:color="auto" w:frame="1"/>
                <w:shd w:val="clear" w:color="auto" w:fill="FFFFFF"/>
              </w:rPr>
              <w:br/>
              <w:t xml:space="preserve">13.6. La protección de usuarios y consumidores </w:t>
            </w:r>
            <w:r w:rsidRPr="001C0495">
              <w:rPr>
                <w:rFonts w:ascii="Century Gothic" w:hAnsi="Century Gothic" w:cs="Arial"/>
                <w:sz w:val="22"/>
                <w:szCs w:val="20"/>
                <w:bdr w:val="none" w:sz="0" w:space="0" w:color="auto" w:frame="1"/>
                <w:shd w:val="clear" w:color="auto" w:fill="FFFFFF"/>
              </w:rPr>
              <w:br/>
              <w:t xml:space="preserve">13.7. Reclamaciones y quejas: tratamiento </w:t>
            </w:r>
            <w:r w:rsidRPr="001C0495">
              <w:rPr>
                <w:rFonts w:ascii="Century Gothic" w:hAnsi="Century Gothic" w:cs="Arial"/>
                <w:sz w:val="22"/>
                <w:szCs w:val="20"/>
                <w:bdr w:val="none" w:sz="0" w:space="0" w:color="auto" w:frame="1"/>
                <w:shd w:val="clear" w:color="auto" w:fill="FFFFFF"/>
              </w:rPr>
              <w:br/>
              <w:t xml:space="preserve">13.8. Las resoluciones </w:t>
            </w:r>
            <w:r w:rsidRPr="001C0495">
              <w:rPr>
                <w:rFonts w:ascii="Century Gothic" w:hAnsi="Century Gothic" w:cs="Arial"/>
                <w:sz w:val="22"/>
                <w:szCs w:val="20"/>
                <w:bdr w:val="none" w:sz="0" w:space="0" w:color="auto" w:frame="1"/>
                <w:shd w:val="clear" w:color="auto" w:fill="FFFFFF"/>
              </w:rPr>
              <w:br/>
            </w:r>
          </w:p>
          <w:p w:rsidR="001C0495" w:rsidRPr="001C0495" w:rsidRDefault="001C0495" w:rsidP="001C0495">
            <w:pPr>
              <w:autoSpaceDE w:val="0"/>
              <w:autoSpaceDN w:val="0"/>
              <w:adjustRightInd w:val="0"/>
              <w:rPr>
                <w:rFonts w:ascii="Century Gothic" w:hAnsi="Century Gothic" w:cs="Arial"/>
                <w:b/>
                <w:sz w:val="22"/>
                <w:szCs w:val="20"/>
                <w:bdr w:val="none" w:sz="0" w:space="0" w:color="auto" w:frame="1"/>
                <w:shd w:val="clear" w:color="auto" w:fill="FFFFFF"/>
              </w:rPr>
            </w:pPr>
            <w:r w:rsidRPr="001C0495">
              <w:rPr>
                <w:rFonts w:ascii="Century Gothic" w:hAnsi="Century Gothic" w:cs="Arial"/>
                <w:b/>
                <w:sz w:val="22"/>
                <w:szCs w:val="20"/>
                <w:bdr w:val="none" w:sz="0" w:space="0" w:color="auto" w:frame="1"/>
                <w:shd w:val="clear" w:color="auto" w:fill="FFFFFF"/>
              </w:rPr>
              <w:t>Tema 14. Reglamentación española en restauración</w:t>
            </w:r>
          </w:p>
          <w:p w:rsidR="009D29DB" w:rsidRPr="001C0495" w:rsidRDefault="001C0495" w:rsidP="001C0495">
            <w:pPr>
              <w:autoSpaceDE w:val="0"/>
              <w:autoSpaceDN w:val="0"/>
              <w:adjustRightInd w:val="0"/>
              <w:ind w:left="708"/>
              <w:rPr>
                <w:rFonts w:ascii="Century Gothic" w:hAnsi="Century Gothic" w:cs="Polo11K-Buch"/>
                <w:sz w:val="22"/>
                <w:szCs w:val="22"/>
              </w:rPr>
            </w:pPr>
            <w:r w:rsidRPr="001C0495">
              <w:rPr>
                <w:rFonts w:ascii="Century Gothic" w:hAnsi="Century Gothic" w:cs="Arial"/>
                <w:sz w:val="22"/>
                <w:szCs w:val="20"/>
                <w:bdr w:val="none" w:sz="0" w:space="0" w:color="auto" w:frame="1"/>
                <w:shd w:val="clear" w:color="auto" w:fill="FFFFFF"/>
              </w:rPr>
              <w:t xml:space="preserve">14.1. Legislación estatal </w:t>
            </w:r>
            <w:r w:rsidRPr="001C0495">
              <w:rPr>
                <w:rFonts w:ascii="Century Gothic" w:hAnsi="Century Gothic" w:cs="Arial"/>
                <w:sz w:val="22"/>
                <w:szCs w:val="20"/>
                <w:bdr w:val="none" w:sz="0" w:space="0" w:color="auto" w:frame="1"/>
                <w:shd w:val="clear" w:color="auto" w:fill="FFFFFF"/>
              </w:rPr>
              <w:br/>
              <w:t xml:space="preserve">14.2. Derechos y obligaciones del usuario en un local de restauración </w:t>
            </w:r>
            <w:r w:rsidRPr="001C0495">
              <w:rPr>
                <w:rFonts w:ascii="Century Gothic" w:hAnsi="Century Gothic" w:cs="Arial"/>
                <w:sz w:val="22"/>
                <w:szCs w:val="20"/>
                <w:bdr w:val="none" w:sz="0" w:space="0" w:color="auto" w:frame="1"/>
                <w:shd w:val="clear" w:color="auto" w:fill="FFFFFF"/>
              </w:rPr>
              <w:br/>
              <w:t xml:space="preserve">14.3. </w:t>
            </w:r>
            <w:r w:rsidRPr="001C0495">
              <w:rPr>
                <w:rFonts w:ascii="Century Gothic" w:hAnsi="Century Gothic" w:cs="Arial"/>
                <w:sz w:val="22"/>
                <w:szCs w:val="20"/>
                <w:bdr w:val="none" w:sz="0" w:space="0" w:color="auto" w:frame="1"/>
                <w:shd w:val="clear" w:color="auto" w:fill="FFFFFF"/>
                <w:lang w:val="en-US"/>
              </w:rPr>
              <w:t>Legislación autonómica</w:t>
            </w:r>
          </w:p>
        </w:tc>
      </w:tr>
    </w:tbl>
    <w:p w:rsidR="00CD17BA" w:rsidRPr="002247FD" w:rsidRDefault="00CD17BA" w:rsidP="004B3AA9">
      <w:pPr>
        <w:rPr>
          <w:rFonts w:ascii="Century Gothic" w:hAnsi="Century Gothic" w:cs="Tahoma"/>
          <w:sz w:val="22"/>
          <w:szCs w:val="22"/>
        </w:rPr>
      </w:pPr>
    </w:p>
    <w:sectPr w:rsidR="00CD17BA" w:rsidRPr="002247FD" w:rsidSect="00997818">
      <w:footerReference w:type="default" r:id="rId8"/>
      <w:pgSz w:w="11906" w:h="16838"/>
      <w:pgMar w:top="340" w:right="1106" w:bottom="539" w:left="4321"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65F" w:rsidRDefault="0074765F">
      <w:r>
        <w:separator/>
      </w:r>
    </w:p>
  </w:endnote>
  <w:endnote w:type="continuationSeparator" w:id="1">
    <w:p w:rsidR="0074765F" w:rsidRDefault="00747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olo11K-Buch">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DD" w:rsidRPr="001D3CED" w:rsidRDefault="00705AE5" w:rsidP="00734FAA">
    <w:pPr>
      <w:pStyle w:val="Piedepgina"/>
      <w:ind w:left="-3420"/>
      <w:jc w:val="center"/>
      <w:rPr>
        <w:rFonts w:ascii="Lucida Handwriting" w:hAnsi="Lucida Handwriting"/>
      </w:rPr>
    </w:pPr>
    <w:hyperlink r:id="rId1" w:history="1">
      <w:r w:rsidR="00A778DD" w:rsidRPr="001D3CED">
        <w:rPr>
          <w:rStyle w:val="Hipervnculo"/>
          <w:rFonts w:ascii="Lucida Handwriting" w:hAnsi="Lucida Handwriting"/>
          <w:u w:val="none"/>
        </w:rPr>
        <w:t>www.solucioneseducacion.com</w:t>
      </w:r>
    </w:hyperlink>
  </w:p>
  <w:p w:rsidR="00A778DD" w:rsidRPr="00CD17BA" w:rsidRDefault="00A778DD" w:rsidP="00734FAA">
    <w:pPr>
      <w:pStyle w:val="Piedepgina"/>
      <w:ind w:left="-3420"/>
      <w:jc w:val="center"/>
      <w:rPr>
        <w:rFonts w:ascii="Lucida Handwriting" w:hAnsi="Lucida Handwriting"/>
      </w:rPr>
    </w:pPr>
    <w:r>
      <w:rPr>
        <w:rFonts w:ascii="Lucida Handwriting" w:hAnsi="Lucida Handwriting"/>
      </w:rPr>
      <w:sym w:font="Wingdings" w:char="F029"/>
    </w:r>
    <w:r>
      <w:rPr>
        <w:rFonts w:ascii="Lucida Handwriting" w:hAnsi="Lucida Handwriting"/>
      </w:rPr>
      <w:t xml:space="preserve"> 979.706.435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65F" w:rsidRDefault="0074765F">
      <w:r>
        <w:separator/>
      </w:r>
    </w:p>
  </w:footnote>
  <w:footnote w:type="continuationSeparator" w:id="1">
    <w:p w:rsidR="0074765F" w:rsidRDefault="00747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248"/>
    <w:multiLevelType w:val="hybridMultilevel"/>
    <w:tmpl w:val="EDC2C44E"/>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21E761C5"/>
    <w:multiLevelType w:val="multilevel"/>
    <w:tmpl w:val="297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81E84"/>
    <w:multiLevelType w:val="multilevel"/>
    <w:tmpl w:val="BBF2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140201"/>
    <w:multiLevelType w:val="multilevel"/>
    <w:tmpl w:val="0E46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C368A6"/>
    <w:multiLevelType w:val="multilevel"/>
    <w:tmpl w:val="D87E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9032E4"/>
    <w:multiLevelType w:val="multilevel"/>
    <w:tmpl w:val="2896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97C93"/>
    <w:multiLevelType w:val="multilevel"/>
    <w:tmpl w:val="EA1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B0F71"/>
    <w:multiLevelType w:val="multilevel"/>
    <w:tmpl w:val="219CA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995E03"/>
    <w:multiLevelType w:val="multilevel"/>
    <w:tmpl w:val="A98A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F06721"/>
    <w:multiLevelType w:val="multilevel"/>
    <w:tmpl w:val="4DFE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5"/>
  </w:num>
  <w:num w:numId="8">
    <w:abstractNumId w:val="2"/>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126A8"/>
    <w:rsid w:val="000237BA"/>
    <w:rsid w:val="00042E07"/>
    <w:rsid w:val="00042EAC"/>
    <w:rsid w:val="00070898"/>
    <w:rsid w:val="000771C5"/>
    <w:rsid w:val="000B79E7"/>
    <w:rsid w:val="000D6809"/>
    <w:rsid w:val="000E5123"/>
    <w:rsid w:val="00114688"/>
    <w:rsid w:val="00136C65"/>
    <w:rsid w:val="00164EC8"/>
    <w:rsid w:val="00173F44"/>
    <w:rsid w:val="00195EFA"/>
    <w:rsid w:val="001B34B4"/>
    <w:rsid w:val="001C0495"/>
    <w:rsid w:val="001C41E7"/>
    <w:rsid w:val="001D22C4"/>
    <w:rsid w:val="001D3CED"/>
    <w:rsid w:val="001F5159"/>
    <w:rsid w:val="002247FD"/>
    <w:rsid w:val="00257920"/>
    <w:rsid w:val="00264573"/>
    <w:rsid w:val="002663D9"/>
    <w:rsid w:val="00266A49"/>
    <w:rsid w:val="00267D80"/>
    <w:rsid w:val="002831A7"/>
    <w:rsid w:val="002927A4"/>
    <w:rsid w:val="002D7906"/>
    <w:rsid w:val="002E5E98"/>
    <w:rsid w:val="002F1037"/>
    <w:rsid w:val="00304AFD"/>
    <w:rsid w:val="00317712"/>
    <w:rsid w:val="003456FA"/>
    <w:rsid w:val="00380DCE"/>
    <w:rsid w:val="003A03BA"/>
    <w:rsid w:val="003B6303"/>
    <w:rsid w:val="003C5717"/>
    <w:rsid w:val="004126A8"/>
    <w:rsid w:val="00416682"/>
    <w:rsid w:val="004214A3"/>
    <w:rsid w:val="00435680"/>
    <w:rsid w:val="004B3AA9"/>
    <w:rsid w:val="004C27B3"/>
    <w:rsid w:val="004D00FA"/>
    <w:rsid w:val="004D78BD"/>
    <w:rsid w:val="00511E7A"/>
    <w:rsid w:val="0051305A"/>
    <w:rsid w:val="00571A72"/>
    <w:rsid w:val="006131C0"/>
    <w:rsid w:val="00633040"/>
    <w:rsid w:val="006D0748"/>
    <w:rsid w:val="006F0875"/>
    <w:rsid w:val="00705AE5"/>
    <w:rsid w:val="00734FAA"/>
    <w:rsid w:val="0074765F"/>
    <w:rsid w:val="00757E95"/>
    <w:rsid w:val="007949A4"/>
    <w:rsid w:val="007B04DA"/>
    <w:rsid w:val="007C5253"/>
    <w:rsid w:val="0080235A"/>
    <w:rsid w:val="0081388C"/>
    <w:rsid w:val="00832B66"/>
    <w:rsid w:val="00834C0F"/>
    <w:rsid w:val="008525EC"/>
    <w:rsid w:val="008827F8"/>
    <w:rsid w:val="00895BC7"/>
    <w:rsid w:val="008B5790"/>
    <w:rsid w:val="008E5710"/>
    <w:rsid w:val="008F4E9E"/>
    <w:rsid w:val="00910766"/>
    <w:rsid w:val="0092572F"/>
    <w:rsid w:val="00952036"/>
    <w:rsid w:val="00957639"/>
    <w:rsid w:val="00973F1F"/>
    <w:rsid w:val="00997818"/>
    <w:rsid w:val="009D29DB"/>
    <w:rsid w:val="009D7E9F"/>
    <w:rsid w:val="00A1696E"/>
    <w:rsid w:val="00A31C78"/>
    <w:rsid w:val="00A752E0"/>
    <w:rsid w:val="00A778DD"/>
    <w:rsid w:val="00AB7EB6"/>
    <w:rsid w:val="00AE40DE"/>
    <w:rsid w:val="00B052AF"/>
    <w:rsid w:val="00B24C72"/>
    <w:rsid w:val="00B51A82"/>
    <w:rsid w:val="00B71381"/>
    <w:rsid w:val="00B8061C"/>
    <w:rsid w:val="00B82D97"/>
    <w:rsid w:val="00B92BC5"/>
    <w:rsid w:val="00BC45B9"/>
    <w:rsid w:val="00BF14E0"/>
    <w:rsid w:val="00C72668"/>
    <w:rsid w:val="00CA04AF"/>
    <w:rsid w:val="00CD17BA"/>
    <w:rsid w:val="00D07613"/>
    <w:rsid w:val="00D84174"/>
    <w:rsid w:val="00DA2937"/>
    <w:rsid w:val="00DB74CC"/>
    <w:rsid w:val="00DE0A73"/>
    <w:rsid w:val="00DE7D67"/>
    <w:rsid w:val="00E04C09"/>
    <w:rsid w:val="00E50FCD"/>
    <w:rsid w:val="00E62826"/>
    <w:rsid w:val="00EC2EFF"/>
    <w:rsid w:val="00ED060C"/>
    <w:rsid w:val="00F03718"/>
    <w:rsid w:val="00F479A2"/>
    <w:rsid w:val="00F62FCF"/>
    <w:rsid w:val="00F72431"/>
    <w:rsid w:val="00F73BA0"/>
    <w:rsid w:val="00FD4229"/>
    <w:rsid w:val="00FF0EC8"/>
    <w:rsid w:val="00FF4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F1F"/>
    <w:rPr>
      <w:sz w:val="24"/>
      <w:szCs w:val="24"/>
    </w:rPr>
  </w:style>
  <w:style w:type="paragraph" w:styleId="Ttulo1">
    <w:name w:val="heading 1"/>
    <w:basedOn w:val="Normal"/>
    <w:next w:val="Normal"/>
    <w:qFormat/>
    <w:rsid w:val="00973F1F"/>
    <w:pPr>
      <w:keepNext/>
      <w:outlineLvl w:val="0"/>
    </w:pPr>
    <w:rPr>
      <w:rFonts w:ascii="Tahoma" w:hAnsi="Tahoma"/>
      <w:b/>
      <w:outline/>
      <w:sz w:val="32"/>
    </w:rPr>
  </w:style>
  <w:style w:type="paragraph" w:styleId="Ttulo2">
    <w:name w:val="heading 2"/>
    <w:basedOn w:val="Normal"/>
    <w:next w:val="Normal"/>
    <w:qFormat/>
    <w:rsid w:val="00973F1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73F1F"/>
    <w:pPr>
      <w:keepNext/>
      <w:spacing w:before="240" w:after="60"/>
      <w:outlineLvl w:val="2"/>
    </w:pPr>
    <w:rPr>
      <w:rFonts w:ascii="Arial" w:hAnsi="Arial" w:cs="Arial"/>
      <w:b/>
      <w:bCs/>
      <w:sz w:val="26"/>
      <w:szCs w:val="26"/>
    </w:rPr>
  </w:style>
  <w:style w:type="paragraph" w:styleId="Ttulo5">
    <w:name w:val="heading 5"/>
    <w:basedOn w:val="Normal"/>
    <w:next w:val="Normal"/>
    <w:link w:val="Ttulo5Car"/>
    <w:semiHidden/>
    <w:unhideWhenUsed/>
    <w:qFormat/>
    <w:rsid w:val="00E6282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973F1F"/>
    <w:rPr>
      <w:rFonts w:ascii="Tahoma" w:hAnsi="Tahoma"/>
      <w:bCs/>
      <w:sz w:val="20"/>
    </w:rPr>
  </w:style>
  <w:style w:type="paragraph" w:styleId="Textoindependiente">
    <w:name w:val="Body Text"/>
    <w:basedOn w:val="Normal"/>
    <w:rsid w:val="00973F1F"/>
    <w:pPr>
      <w:widowControl w:val="0"/>
      <w:autoSpaceDE w:val="0"/>
      <w:autoSpaceDN w:val="0"/>
      <w:adjustRightInd w:val="0"/>
      <w:jc w:val="both"/>
    </w:pPr>
    <w:rPr>
      <w:rFonts w:ascii="Tahoma" w:hAnsi="Tahoma" w:cs="Tahoma"/>
      <w:sz w:val="18"/>
      <w:szCs w:val="18"/>
    </w:rPr>
  </w:style>
  <w:style w:type="paragraph" w:styleId="Encabezado">
    <w:name w:val="header"/>
    <w:basedOn w:val="Normal"/>
    <w:rsid w:val="00973F1F"/>
    <w:pPr>
      <w:tabs>
        <w:tab w:val="center" w:pos="4252"/>
        <w:tab w:val="right" w:pos="8504"/>
      </w:tabs>
    </w:pPr>
  </w:style>
  <w:style w:type="paragraph" w:styleId="Piedepgina">
    <w:name w:val="footer"/>
    <w:basedOn w:val="Normal"/>
    <w:rsid w:val="00973F1F"/>
    <w:pPr>
      <w:tabs>
        <w:tab w:val="center" w:pos="4252"/>
        <w:tab w:val="right" w:pos="8504"/>
      </w:tabs>
    </w:pPr>
  </w:style>
  <w:style w:type="paragraph" w:styleId="Lista">
    <w:name w:val="List"/>
    <w:basedOn w:val="Normal"/>
    <w:rsid w:val="00973F1F"/>
    <w:pPr>
      <w:ind w:left="283" w:hanging="283"/>
    </w:pPr>
  </w:style>
  <w:style w:type="paragraph" w:styleId="Ttulo">
    <w:name w:val="Title"/>
    <w:basedOn w:val="Normal"/>
    <w:qFormat/>
    <w:rsid w:val="00973F1F"/>
    <w:pPr>
      <w:spacing w:before="240" w:after="60"/>
      <w:jc w:val="center"/>
      <w:outlineLvl w:val="0"/>
    </w:pPr>
    <w:rPr>
      <w:rFonts w:ascii="Arial" w:hAnsi="Arial" w:cs="Arial"/>
      <w:b/>
      <w:bCs/>
      <w:kern w:val="28"/>
      <w:sz w:val="32"/>
      <w:szCs w:val="32"/>
    </w:rPr>
  </w:style>
  <w:style w:type="paragraph" w:styleId="Textoindependiente2">
    <w:name w:val="Body Text 2"/>
    <w:basedOn w:val="Normal"/>
    <w:rsid w:val="00973F1F"/>
    <w:pPr>
      <w:jc w:val="both"/>
    </w:pPr>
    <w:rPr>
      <w:rFonts w:ascii="Tahoma" w:hAnsi="Tahoma" w:cs="Tahoma"/>
      <w:sz w:val="20"/>
    </w:rPr>
  </w:style>
  <w:style w:type="table" w:styleId="Tablaconcuadrcula">
    <w:name w:val="Table Grid"/>
    <w:basedOn w:val="Tablanormal"/>
    <w:rsid w:val="00380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D3CED"/>
    <w:rPr>
      <w:color w:val="0000FF"/>
      <w:u w:val="single"/>
    </w:rPr>
  </w:style>
  <w:style w:type="paragraph" w:styleId="NormalWeb">
    <w:name w:val="Normal (Web)"/>
    <w:basedOn w:val="Normal"/>
    <w:uiPriority w:val="99"/>
    <w:unhideWhenUsed/>
    <w:rsid w:val="00957639"/>
    <w:pPr>
      <w:spacing w:before="100" w:beforeAutospacing="1" w:after="100" w:afterAutospacing="1"/>
    </w:pPr>
  </w:style>
  <w:style w:type="character" w:styleId="Textoennegrita">
    <w:name w:val="Strong"/>
    <w:basedOn w:val="Fuentedeprrafopredeter"/>
    <w:uiPriority w:val="22"/>
    <w:qFormat/>
    <w:rsid w:val="00957639"/>
    <w:rPr>
      <w:b/>
      <w:bCs/>
    </w:rPr>
  </w:style>
  <w:style w:type="character" w:styleId="nfasis">
    <w:name w:val="Emphasis"/>
    <w:basedOn w:val="Fuentedeprrafopredeter"/>
    <w:uiPriority w:val="20"/>
    <w:qFormat/>
    <w:rsid w:val="00957639"/>
    <w:rPr>
      <w:i/>
      <w:iCs/>
    </w:rPr>
  </w:style>
  <w:style w:type="character" w:customStyle="1" w:styleId="apple-converted-space">
    <w:name w:val="apple-converted-space"/>
    <w:basedOn w:val="Fuentedeprrafopredeter"/>
    <w:rsid w:val="00D07613"/>
  </w:style>
  <w:style w:type="character" w:customStyle="1" w:styleId="Ttulo5Car">
    <w:name w:val="Título 5 Car"/>
    <w:basedOn w:val="Fuentedeprrafopredeter"/>
    <w:link w:val="Ttulo5"/>
    <w:semiHidden/>
    <w:rsid w:val="00E62826"/>
    <w:rPr>
      <w:rFonts w:ascii="Calibri" w:eastAsia="Times New Roman" w:hAnsi="Calibri" w:cs="Times New Roman"/>
      <w:b/>
      <w:bCs/>
      <w:i/>
      <w:iCs/>
      <w:sz w:val="26"/>
      <w:szCs w:val="26"/>
    </w:rPr>
  </w:style>
  <w:style w:type="paragraph" w:customStyle="1" w:styleId="tema-n3">
    <w:name w:val="tema-n3"/>
    <w:basedOn w:val="Normal"/>
    <w:rsid w:val="00E62826"/>
    <w:pPr>
      <w:spacing w:before="100" w:beforeAutospacing="1" w:after="100" w:afterAutospacing="1"/>
    </w:pPr>
  </w:style>
  <w:style w:type="paragraph" w:styleId="Textodeglobo">
    <w:name w:val="Balloon Text"/>
    <w:basedOn w:val="Normal"/>
    <w:link w:val="TextodegloboCar"/>
    <w:rsid w:val="002831A7"/>
    <w:rPr>
      <w:rFonts w:ascii="Tahoma" w:hAnsi="Tahoma" w:cs="Tahoma"/>
      <w:sz w:val="16"/>
      <w:szCs w:val="16"/>
    </w:rPr>
  </w:style>
  <w:style w:type="character" w:customStyle="1" w:styleId="TextodegloboCar">
    <w:name w:val="Texto de globo Car"/>
    <w:basedOn w:val="Fuentedeprrafopredeter"/>
    <w:link w:val="Textodeglobo"/>
    <w:rsid w:val="002831A7"/>
    <w:rPr>
      <w:rFonts w:ascii="Tahoma" w:hAnsi="Tahoma" w:cs="Tahoma"/>
      <w:sz w:val="16"/>
      <w:szCs w:val="16"/>
    </w:rPr>
  </w:style>
  <w:style w:type="paragraph" w:styleId="Prrafodelista">
    <w:name w:val="List Paragraph"/>
    <w:basedOn w:val="Normal"/>
    <w:uiPriority w:val="34"/>
    <w:qFormat/>
    <w:rsid w:val="001C0495"/>
    <w:pPr>
      <w:ind w:left="720"/>
      <w:contextualSpacing/>
    </w:pPr>
  </w:style>
</w:styles>
</file>

<file path=word/webSettings.xml><?xml version="1.0" encoding="utf-8"?>
<w:webSettings xmlns:r="http://schemas.openxmlformats.org/officeDocument/2006/relationships" xmlns:w="http://schemas.openxmlformats.org/wordprocessingml/2006/main">
  <w:divs>
    <w:div w:id="639572466">
      <w:bodyDiv w:val="1"/>
      <w:marLeft w:val="0"/>
      <w:marRight w:val="0"/>
      <w:marTop w:val="0"/>
      <w:marBottom w:val="0"/>
      <w:divBdr>
        <w:top w:val="none" w:sz="0" w:space="0" w:color="auto"/>
        <w:left w:val="none" w:sz="0" w:space="0" w:color="auto"/>
        <w:bottom w:val="none" w:sz="0" w:space="0" w:color="auto"/>
        <w:right w:val="none" w:sz="0" w:space="0" w:color="auto"/>
      </w:divBdr>
    </w:div>
    <w:div w:id="727462684">
      <w:bodyDiv w:val="1"/>
      <w:marLeft w:val="0"/>
      <w:marRight w:val="0"/>
      <w:marTop w:val="0"/>
      <w:marBottom w:val="0"/>
      <w:divBdr>
        <w:top w:val="none" w:sz="0" w:space="0" w:color="auto"/>
        <w:left w:val="none" w:sz="0" w:space="0" w:color="auto"/>
        <w:bottom w:val="none" w:sz="0" w:space="0" w:color="auto"/>
        <w:right w:val="none" w:sz="0" w:space="0" w:color="auto"/>
      </w:divBdr>
      <w:divsChild>
        <w:div w:id="67115017">
          <w:marLeft w:val="0"/>
          <w:marRight w:val="0"/>
          <w:marTop w:val="0"/>
          <w:marBottom w:val="120"/>
          <w:divBdr>
            <w:top w:val="none" w:sz="0" w:space="0" w:color="auto"/>
            <w:left w:val="none" w:sz="0" w:space="0" w:color="auto"/>
            <w:bottom w:val="none" w:sz="0" w:space="0" w:color="auto"/>
            <w:right w:val="none" w:sz="0" w:space="0" w:color="auto"/>
          </w:divBdr>
        </w:div>
        <w:div w:id="254678338">
          <w:marLeft w:val="0"/>
          <w:marRight w:val="0"/>
          <w:marTop w:val="0"/>
          <w:marBottom w:val="0"/>
          <w:divBdr>
            <w:top w:val="none" w:sz="0" w:space="0" w:color="auto"/>
            <w:left w:val="none" w:sz="0" w:space="0" w:color="auto"/>
            <w:bottom w:val="single" w:sz="6" w:space="0" w:color="ABABAB"/>
            <w:right w:val="none" w:sz="0" w:space="0" w:color="auto"/>
          </w:divBdr>
        </w:div>
      </w:divsChild>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1224441105">
      <w:bodyDiv w:val="1"/>
      <w:marLeft w:val="0"/>
      <w:marRight w:val="0"/>
      <w:marTop w:val="0"/>
      <w:marBottom w:val="0"/>
      <w:divBdr>
        <w:top w:val="none" w:sz="0" w:space="0" w:color="auto"/>
        <w:left w:val="none" w:sz="0" w:space="0" w:color="auto"/>
        <w:bottom w:val="none" w:sz="0" w:space="0" w:color="auto"/>
        <w:right w:val="none" w:sz="0" w:space="0" w:color="auto"/>
      </w:divBdr>
      <w:divsChild>
        <w:div w:id="822115679">
          <w:marLeft w:val="0"/>
          <w:marRight w:val="0"/>
          <w:marTop w:val="300"/>
          <w:marBottom w:val="0"/>
          <w:divBdr>
            <w:top w:val="none" w:sz="0" w:space="0" w:color="auto"/>
            <w:left w:val="none" w:sz="0" w:space="0" w:color="auto"/>
            <w:bottom w:val="none" w:sz="0" w:space="0" w:color="auto"/>
            <w:right w:val="none" w:sz="0" w:space="0" w:color="auto"/>
          </w:divBdr>
          <w:divsChild>
            <w:div w:id="546917439">
              <w:marLeft w:val="120"/>
              <w:marRight w:val="0"/>
              <w:marTop w:val="0"/>
              <w:marBottom w:val="150"/>
              <w:divBdr>
                <w:top w:val="none" w:sz="0" w:space="0" w:color="auto"/>
                <w:left w:val="none" w:sz="0" w:space="0" w:color="auto"/>
                <w:bottom w:val="none" w:sz="0" w:space="0" w:color="auto"/>
                <w:right w:val="none" w:sz="0" w:space="0" w:color="auto"/>
              </w:divBdr>
              <w:divsChild>
                <w:div w:id="1101412674">
                  <w:marLeft w:val="0"/>
                  <w:marRight w:val="0"/>
                  <w:marTop w:val="0"/>
                  <w:marBottom w:val="0"/>
                  <w:divBdr>
                    <w:top w:val="none" w:sz="0" w:space="0" w:color="auto"/>
                    <w:left w:val="none" w:sz="0" w:space="0" w:color="auto"/>
                    <w:bottom w:val="none" w:sz="0" w:space="0" w:color="auto"/>
                    <w:right w:val="none" w:sz="0" w:space="0" w:color="auto"/>
                  </w:divBdr>
                  <w:divsChild>
                    <w:div w:id="9246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49727">
      <w:bodyDiv w:val="1"/>
      <w:marLeft w:val="0"/>
      <w:marRight w:val="0"/>
      <w:marTop w:val="0"/>
      <w:marBottom w:val="0"/>
      <w:divBdr>
        <w:top w:val="none" w:sz="0" w:space="0" w:color="auto"/>
        <w:left w:val="none" w:sz="0" w:space="0" w:color="auto"/>
        <w:bottom w:val="none" w:sz="0" w:space="0" w:color="auto"/>
        <w:right w:val="none" w:sz="0" w:space="0" w:color="auto"/>
      </w:divBdr>
    </w:div>
    <w:div w:id="21007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lucioneseduca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Microsoft Excel XP – Temario</vt:lpstr>
    </vt:vector>
  </TitlesOfParts>
  <Company>Solucion.es training</Company>
  <LinksUpToDate>false</LinksUpToDate>
  <CharactersWithSpaces>4057</CharactersWithSpaces>
  <SharedDoc>false</SharedDoc>
  <HLinks>
    <vt:vector size="6" baseType="variant">
      <vt:variant>
        <vt:i4>2424948</vt:i4>
      </vt:variant>
      <vt:variant>
        <vt:i4>0</vt:i4>
      </vt:variant>
      <vt:variant>
        <vt:i4>0</vt:i4>
      </vt:variant>
      <vt:variant>
        <vt:i4>5</vt:i4>
      </vt:variant>
      <vt:variant>
        <vt:lpwstr>http://www.solucioneseducacion.com/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XP – Temario</dc:title>
  <dc:creator>Jesus Carranza</dc:creator>
  <cp:lastModifiedBy>Balbino Merino</cp:lastModifiedBy>
  <cp:revision>4</cp:revision>
  <cp:lastPrinted>2014-01-21T10:18:00Z</cp:lastPrinted>
  <dcterms:created xsi:type="dcterms:W3CDTF">2015-05-15T15:54:00Z</dcterms:created>
  <dcterms:modified xsi:type="dcterms:W3CDTF">2015-12-21T20:07:00Z</dcterms:modified>
</cp:coreProperties>
</file>