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224" w:type="dxa"/>
        <w:tblInd w:w="-3312" w:type="dxa"/>
        <w:tblLook w:val="01E0" w:firstRow="1" w:lastRow="1" w:firstColumn="1" w:lastColumn="1" w:noHBand="0" w:noVBand="0"/>
      </w:tblPr>
      <w:tblGrid>
        <w:gridCol w:w="10224"/>
      </w:tblGrid>
      <w:tr w:rsidR="00997818" w:rsidRPr="00832B66" w:rsidTr="003364B8">
        <w:trPr>
          <w:trHeight w:hRule="exact" w:val="1324"/>
        </w:trPr>
        <w:tc>
          <w:tcPr>
            <w:tcW w:w="10224" w:type="dxa"/>
            <w:vAlign w:val="center"/>
          </w:tcPr>
          <w:p w:rsidR="0080235A" w:rsidRPr="003364B8" w:rsidRDefault="003364B8" w:rsidP="003364B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3364B8">
              <w:rPr>
                <w:rFonts w:ascii="Century Gothic" w:hAnsi="Century Gothic" w:cs="Tahoma"/>
                <w:b/>
                <w:sz w:val="34"/>
                <w:szCs w:val="34"/>
              </w:rPr>
              <w:t>Evaluación del proceso de enseñanza aprendizaje en formación profesional para el empleo</w:t>
            </w:r>
            <w:r w:rsidR="002D7906" w:rsidRPr="003364B8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26A8" w:rsidRPr="003364B8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F75880" w:rsidRPr="003364B8">
              <w:rPr>
                <w:rFonts w:ascii="Century Gothic" w:hAnsi="Century Gothic" w:cs="Tahoma"/>
                <w:b/>
                <w:sz w:val="34"/>
                <w:szCs w:val="34"/>
              </w:rPr>
              <w:t>MF1445_3</w:t>
            </w:r>
            <w:r w:rsidR="00CA04AF" w:rsidRPr="003364B8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75880" w:rsidRDefault="00F75880" w:rsidP="00F75880">
            <w:pPr>
              <w:pStyle w:val="Pa101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1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1. Evaluación en formación para el empleo aplicada a las distintas modalidades de impartición. 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1.1 La evaluación del aprendizaje: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1.1.1 Concepto de evaluación 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1.1.2 Planificación de la evaluación: Agentes intervinientes.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1.1.3 Importancia de la evaluación. Medir y evaluar.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1.1.4 Características técnicas del proceso de evaluación: sistematicidad, fiabilidad, validez, objetividad, efectividad, entre otros.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1.1.5 Modalidades de evaluación en función del momento, agente evaluador y finalidad.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1.1.6 Soporte documental con evidencias de resultado (actas, informes, entre otros). 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1.2 La evaluación por competencias: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1.2.1 Procedimiento para el reconocimiento y acreditación de competencias profesionales: vías formales y no formales de formación y experiencia profesional.</w:t>
            </w:r>
          </w:p>
          <w:p w:rsidR="003364B8" w:rsidRPr="003364B8" w:rsidRDefault="003364B8" w:rsidP="00F75880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Elaboración de pruebas para la evaluación de contenidos teóricos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 Evaluación de aprendizajes simples: prueba objetiva. 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2.1.1 Niveles de conocimiento: taxonomía de Bloom.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2.1.2 Tabla de especificaciones.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2.1.3 Tipos de ítems: normas de elaboración y corrección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2.1.4 Instrucciones para la aplicación de las pruebas.</w:t>
            </w:r>
          </w:p>
          <w:p w:rsidR="003364B8" w:rsidRPr="003364B8" w:rsidRDefault="003364B8" w:rsidP="00F75880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 w:cs="Arial"/>
                <w:sz w:val="22"/>
                <w:szCs w:val="22"/>
              </w:rPr>
              <w:t>2.1.5 Estructura de la prueba objetiva: encabezado, instrucciones generales e instrucciones específicas.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2.1.6 Instrucciones para la aplicación, corrección y calificación de las pruebas.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2.2 Evaluación de aprendizajes complejos: ejercicio interpretativo, pruebas de ensayo, pruebas orales, entre otros.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2.2.1 Normas de elaboración y corrección de pruebas de aprendizajes complejos.</w:t>
            </w:r>
          </w:p>
          <w:p w:rsidR="003364B8" w:rsidRDefault="003364B8" w:rsidP="00F75880">
            <w:pPr>
              <w:pStyle w:val="Pa111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75880" w:rsidRDefault="00F75880" w:rsidP="00F75880">
            <w:pPr>
              <w:rPr>
                <w:lang w:eastAsia="en-US"/>
              </w:rPr>
            </w:pPr>
          </w:p>
          <w:p w:rsidR="00F75880" w:rsidRDefault="00F75880" w:rsidP="00F75880">
            <w:pPr>
              <w:rPr>
                <w:lang w:eastAsia="en-US"/>
              </w:rPr>
            </w:pPr>
          </w:p>
          <w:p w:rsidR="00F75880" w:rsidRDefault="00F75880" w:rsidP="00F75880">
            <w:pPr>
              <w:rPr>
                <w:lang w:eastAsia="en-US"/>
              </w:rPr>
            </w:pPr>
          </w:p>
          <w:p w:rsidR="00F75880" w:rsidRDefault="00F75880" w:rsidP="00F75880">
            <w:pPr>
              <w:rPr>
                <w:lang w:eastAsia="en-US"/>
              </w:rPr>
            </w:pPr>
          </w:p>
          <w:p w:rsidR="00F75880" w:rsidRPr="00F75880" w:rsidRDefault="00F75880" w:rsidP="00F75880">
            <w:pPr>
              <w:rPr>
                <w:lang w:eastAsia="en-US"/>
              </w:rPr>
            </w:pPr>
            <w:bookmarkStart w:id="0" w:name="_GoBack"/>
            <w:bookmarkEnd w:id="0"/>
          </w:p>
          <w:p w:rsidR="003364B8" w:rsidRPr="003364B8" w:rsidRDefault="003364B8" w:rsidP="00F75880">
            <w:pPr>
              <w:pStyle w:val="Pa111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Diseño y elaboración de pruebas de evaluación de prácticas adaptadas a la modalidad de impartición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3.1 Criterios para la elaboración de prácticas presenciales y en línea.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3.2 Criterios para la corrección: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3.2.1 Listas de cotejo.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3.2.2 Escalas de calificación: numérica, gráfica y descriptiva. 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3.2.3 Hojas de evaluación de prácticas. 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3.2.4 Escalas de Likert.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3.2.5 Hojas de registro.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3.3 Instrucciones para la aplicación de las pruebas: alumnado y docentes.</w:t>
            </w:r>
          </w:p>
          <w:p w:rsidR="003364B8" w:rsidRPr="003364B8" w:rsidRDefault="003364B8" w:rsidP="00F75880">
            <w:pPr>
              <w:pStyle w:val="Pa101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1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4. Evaluación y seguimiento del proceso formativo conforme a la formación presencial y en línea.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4.1 Establecimiento de criterios e indicadores de evaluación.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4.2 Aplicación de técnicas cualitativas y cuantitativas de recogida de información.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4.3 Normas de elaboración y utilización: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4.3.1 Hoja de registro: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4.3.2 Cuestionario: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4.3.3 Hoja de seguimiento.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4.4 Informes de seguimiento y evaluación de las acciones formativas.</w:t>
            </w: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364B8" w:rsidRPr="003364B8" w:rsidRDefault="003364B8" w:rsidP="00F7588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4.5 Plan de seguimiento: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4.5.1 Elementos.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4.5.2 Características.</w:t>
            </w:r>
          </w:p>
          <w:p w:rsidR="003364B8" w:rsidRPr="003364B8" w:rsidRDefault="003364B8" w:rsidP="00F7588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/>
                <w:sz w:val="22"/>
                <w:szCs w:val="22"/>
              </w:rPr>
              <w:t>4.5.3Estrategias de mejora y refuerzo.</w:t>
            </w:r>
          </w:p>
          <w:p w:rsidR="003364B8" w:rsidRPr="003364B8" w:rsidRDefault="003364B8" w:rsidP="00F75880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364B8">
              <w:rPr>
                <w:rStyle w:val="A1"/>
                <w:rFonts w:ascii="Century Gothic" w:hAnsi="Century Gothic" w:cs="Arial"/>
                <w:sz w:val="22"/>
                <w:szCs w:val="22"/>
              </w:rPr>
              <w:t>4.5.4 Control de calidad y evaluación: eficacia, efectividad y eficiencia.</w:t>
            </w:r>
          </w:p>
          <w:p w:rsidR="009D29DB" w:rsidRPr="006F0875" w:rsidRDefault="009D29DB" w:rsidP="00F7588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36" w:rsidRDefault="00C46236">
      <w:r>
        <w:separator/>
      </w:r>
    </w:p>
  </w:endnote>
  <w:endnote w:type="continuationSeparator" w:id="0">
    <w:p w:rsidR="00C46236" w:rsidRDefault="00C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C4623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36" w:rsidRDefault="00C46236">
      <w:r>
        <w:separator/>
      </w:r>
    </w:p>
  </w:footnote>
  <w:footnote w:type="continuationSeparator" w:id="0">
    <w:p w:rsidR="00C46236" w:rsidRDefault="00C4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364B8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21BE3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6236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7588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3364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character" w:customStyle="1" w:styleId="A1">
    <w:name w:val="A1"/>
    <w:uiPriority w:val="99"/>
    <w:rsid w:val="003364B8"/>
    <w:rPr>
      <w:color w:val="000000"/>
      <w:sz w:val="20"/>
      <w:szCs w:val="20"/>
    </w:rPr>
  </w:style>
  <w:style w:type="paragraph" w:customStyle="1" w:styleId="Pa101">
    <w:name w:val="Pa101"/>
    <w:basedOn w:val="Normal"/>
    <w:next w:val="Normal"/>
    <w:uiPriority w:val="99"/>
    <w:rsid w:val="003364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paragraph" w:customStyle="1" w:styleId="Pa109">
    <w:name w:val="Pa109"/>
    <w:basedOn w:val="Normal"/>
    <w:next w:val="Normal"/>
    <w:uiPriority w:val="99"/>
    <w:rsid w:val="003364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paragraph" w:customStyle="1" w:styleId="Pa110">
    <w:name w:val="Pa110"/>
    <w:basedOn w:val="Normal"/>
    <w:next w:val="Normal"/>
    <w:uiPriority w:val="99"/>
    <w:rsid w:val="003364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paragraph" w:customStyle="1" w:styleId="Pa111">
    <w:name w:val="Pa111"/>
    <w:basedOn w:val="Normal"/>
    <w:next w:val="Normal"/>
    <w:uiPriority w:val="99"/>
    <w:rsid w:val="003364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2697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2015-06-16T17:38:00Z</dcterms:created>
  <dcterms:modified xsi:type="dcterms:W3CDTF">2016-01-03T00:03:00Z</dcterms:modified>
</cp:coreProperties>
</file>