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9E5635" w:rsidP="009E56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9E5635">
              <w:rPr>
                <w:rFonts w:ascii="Century Gothic" w:hAnsi="Century Gothic" w:cs="Tahoma"/>
                <w:b/>
                <w:sz w:val="36"/>
                <w:szCs w:val="36"/>
              </w:rPr>
              <w:t xml:space="preserve">Operaciones auxiliares de almacenaje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E77826" w:rsidRPr="009E5635">
              <w:rPr>
                <w:rFonts w:ascii="Century Gothic" w:hAnsi="Century Gothic" w:cs="Tahoma"/>
                <w:b/>
                <w:sz w:val="36"/>
                <w:szCs w:val="36"/>
              </w:rPr>
              <w:t>MF1325_1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9E5635" w:rsidRPr="00E77826" w:rsidRDefault="009E5635" w:rsidP="00E77826">
            <w:pPr>
              <w:pStyle w:val="Pa41"/>
              <w:numPr>
                <w:ilvl w:val="0"/>
                <w:numId w:val="11"/>
              </w:numPr>
              <w:ind w:left="360"/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Estructura y tipos de almacén</w:t>
            </w:r>
          </w:p>
          <w:p w:rsidR="009E5635" w:rsidRPr="009E5635" w:rsidRDefault="009E5635" w:rsidP="00E77826">
            <w:pPr>
              <w:pStyle w:val="Pa42"/>
              <w:ind w:left="34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1.1 Concepto y funciones del almacén.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1.2 Tipología de almacenes: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 xml:space="preserve">1.2.1 Por tipo de empresa y tamaño. 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1.2.2 Por tipo de mercancías.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 xml:space="preserve">1.2.3 Por funciones. 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1.3 Diseño de un almacén.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1.3.1 Lay-out y plano del almacén.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 xml:space="preserve">1.3.2 Disposición de áreas. 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1.3.3 Zonas de trabajo.</w:t>
            </w:r>
          </w:p>
          <w:p w:rsidR="009E5635" w:rsidRPr="009E5635" w:rsidRDefault="009E5635" w:rsidP="009E5635">
            <w:pPr>
              <w:pStyle w:val="Pa43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1.4 Flujo de mercancías en el almacén.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1.4.1 El almacén y la cadena de suministro.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1.4.2 Concepto de flujo de mercancías interno.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1.4.3 Entradas y salidas.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1.4.5 Cargas y descargas.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1.4.6 Cross-docking.</w:t>
            </w:r>
          </w:p>
          <w:p w:rsidR="009E5635" w:rsidRPr="009E5635" w:rsidRDefault="009E5635" w:rsidP="009E5635">
            <w:pPr>
              <w:ind w:left="348"/>
              <w:rPr>
                <w:rFonts w:ascii="Century Gothic" w:hAnsi="Century Gothic"/>
                <w:sz w:val="22"/>
                <w:szCs w:val="22"/>
              </w:rPr>
            </w:pPr>
          </w:p>
          <w:p w:rsidR="009E5635" w:rsidRPr="009E5635" w:rsidRDefault="009E5635" w:rsidP="009E5635">
            <w:pPr>
              <w:pStyle w:val="Pa41"/>
              <w:numPr>
                <w:ilvl w:val="0"/>
                <w:numId w:val="11"/>
              </w:numPr>
              <w:ind w:left="360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Operaciones de almacenaje</w:t>
            </w:r>
          </w:p>
          <w:p w:rsidR="009E5635" w:rsidRPr="00E77826" w:rsidRDefault="009E5635" w:rsidP="00E77826">
            <w:pPr>
              <w:rPr>
                <w:rFonts w:ascii="Century Gothic" w:hAnsi="Century Gothic"/>
                <w:sz w:val="8"/>
              </w:rPr>
            </w:pP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 xml:space="preserve">2.1 Actividades de recepción 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2.1.1 Muelles de descarga.</w:t>
            </w:r>
          </w:p>
          <w:p w:rsidR="009E5635" w:rsidRPr="009E5635" w:rsidRDefault="009E5635" w:rsidP="009E5635">
            <w:pPr>
              <w:ind w:left="1056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 w:cs="Arial"/>
                <w:sz w:val="22"/>
                <w:szCs w:val="22"/>
              </w:rPr>
              <w:t>2.1.2 Documentación.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2.2 Actividades de colocación y ubicación en el almacén.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2.2.1 Situación en el almacén.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2.2.2 Atención y prevención ante movimiento de mercancías.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2.3 Grupaje de mercancías.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2.3.1 Actividades de grupaje.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2.3.2 Equipos y herramientas.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2.4 Cross-docking.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2.4.1 Concepto.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2.4.2 Movimiento interno dentro del almacén.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2.5 Expedición.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2.5.1 Preparación de carga para su expedición.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2.5.2 Documentación de expedición.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2.6 Aprovisionamiento de líneas de producción.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2.6.1 Concepto.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2.6.2 Características del aprovisionamiento.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2.6.3 Cuellos de botella y abastecimiento.</w:t>
            </w:r>
          </w:p>
          <w:p w:rsidR="009E5635" w:rsidRDefault="009E5635" w:rsidP="009E5635">
            <w:pPr>
              <w:ind w:left="348"/>
              <w:rPr>
                <w:rFonts w:ascii="Century Gothic" w:hAnsi="Century Gothic"/>
                <w:sz w:val="22"/>
                <w:szCs w:val="22"/>
              </w:rPr>
            </w:pPr>
          </w:p>
          <w:p w:rsidR="00E77826" w:rsidRDefault="00E77826" w:rsidP="009E5635">
            <w:pPr>
              <w:ind w:left="348"/>
              <w:rPr>
                <w:rFonts w:ascii="Century Gothic" w:hAnsi="Century Gothic"/>
                <w:sz w:val="22"/>
                <w:szCs w:val="22"/>
              </w:rPr>
            </w:pPr>
          </w:p>
          <w:p w:rsidR="00E77826" w:rsidRPr="009E5635" w:rsidRDefault="00E77826" w:rsidP="009E5635">
            <w:pPr>
              <w:ind w:left="348"/>
              <w:rPr>
                <w:rFonts w:ascii="Century Gothic" w:hAnsi="Century Gothic"/>
                <w:sz w:val="22"/>
                <w:szCs w:val="22"/>
              </w:rPr>
            </w:pPr>
          </w:p>
          <w:p w:rsidR="009E5635" w:rsidRPr="00E77826" w:rsidRDefault="009E5635" w:rsidP="00E77826">
            <w:pPr>
              <w:pStyle w:val="Pa45"/>
              <w:numPr>
                <w:ilvl w:val="0"/>
                <w:numId w:val="11"/>
              </w:numPr>
              <w:ind w:left="360"/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Trabajo en equipo en las operaciones auxiliares de almacenaje.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 xml:space="preserve">3.1 Equipo de trabajo y trabajo en equipo en el almacén: 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3.1.1 Interdependencia en las relaciones profesionales del almacén y operaciones logísticas.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 xml:space="preserve">3.1.2 Responsabilidad e interacción del operario del almacén. 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 xml:space="preserve">3.1.3 Relaciones con los superiores jerárquicos 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3.1.4 Relaciones con otros operarios.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 xml:space="preserve">3.1.5 Relaciones con otros operadores externos a la empresa. 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 xml:space="preserve">3.2 Aplicación del concepto de trabajo en equipo: 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3.2.1 Espíritu de equipo.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 xml:space="preserve">3.2.2 Sinergia. 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 xml:space="preserve">3.3 Identificación de parámetros para una actuación profesional integrada: 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3.3.1 Indicadores de calidad del servicio de almacén.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3.3.2 Integración de hábitos profesionales.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3.4 Seguridad y cooperación en la utilización de medios y realización de actividades.</w:t>
            </w:r>
          </w:p>
          <w:p w:rsidR="009E5635" w:rsidRPr="009E5635" w:rsidRDefault="009E5635" w:rsidP="009E5635">
            <w:pPr>
              <w:ind w:left="348"/>
              <w:rPr>
                <w:rFonts w:ascii="Century Gothic" w:hAnsi="Century Gothic"/>
                <w:sz w:val="22"/>
                <w:szCs w:val="22"/>
              </w:rPr>
            </w:pPr>
          </w:p>
          <w:p w:rsidR="009E5635" w:rsidRPr="00E77826" w:rsidRDefault="009E5635" w:rsidP="00E77826">
            <w:pPr>
              <w:pStyle w:val="Pa45"/>
              <w:numPr>
                <w:ilvl w:val="0"/>
                <w:numId w:val="11"/>
              </w:numPr>
              <w:ind w:left="360"/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Documentación básica del almacén.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4.1 La orden de trabajo.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4.1.1 Elementos fundamentales del documento.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4.1.2 Ejemplos.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4.1.3 Errores documentales habituales.</w:t>
            </w:r>
          </w:p>
          <w:p w:rsidR="009E5635" w:rsidRPr="009E5635" w:rsidRDefault="009E5635" w:rsidP="009E5635">
            <w:pPr>
              <w:pStyle w:val="Pa43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4.2 Notas de entrega.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4.2.1 Elementos fundamentales del documento.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4.2.2 Ejemplos.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4.2.3 Errores documentales habituales.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4.3 El albarán.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4.3.1 Elementos fundamentales del documento.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4.3.2 Ejemplos.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4.3.3 Errores documentales habituales.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4.4 Hoja de pedido.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4.4.1 Elementos fundamentales del documento.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4.4.2 Ejemplos.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4.4.3 Errores documentales habituales.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4.5 Packing-list.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4.5.1 Elementos fundamentales del documento.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4.5.2 Ejemplos.</w:t>
            </w:r>
          </w:p>
          <w:p w:rsidR="009E5635" w:rsidRPr="009E5635" w:rsidRDefault="009E5635" w:rsidP="009E5635">
            <w:pPr>
              <w:ind w:left="1056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 w:cs="Arial"/>
                <w:sz w:val="22"/>
                <w:szCs w:val="22"/>
              </w:rPr>
              <w:t>4.5.3 Errores documentales habituales.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4.6 Hoja de transporte.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4.6.1 Elementos fundamentales del documento.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4.6.2 Ejemplos.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4.6.3 Errores documentales habituales.</w:t>
            </w:r>
          </w:p>
          <w:p w:rsidR="009E5635" w:rsidRPr="009E5635" w:rsidRDefault="009E5635" w:rsidP="009E5635">
            <w:pPr>
              <w:ind w:left="348"/>
              <w:rPr>
                <w:rFonts w:ascii="Century Gothic" w:hAnsi="Century Gothic"/>
                <w:sz w:val="22"/>
                <w:szCs w:val="22"/>
              </w:rPr>
            </w:pPr>
          </w:p>
          <w:p w:rsidR="009E5635" w:rsidRPr="00E77826" w:rsidRDefault="009E5635" w:rsidP="00E77826">
            <w:pPr>
              <w:pStyle w:val="Pa46"/>
              <w:numPr>
                <w:ilvl w:val="0"/>
                <w:numId w:val="11"/>
              </w:numPr>
              <w:ind w:left="360"/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Equipos de manutención del almacén: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5.1 Equipo de almacenamiento: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5.1.1 Estanterías: Características.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5.1.2 Tarimas: Características.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5.1.3 Rolls: Características.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 xml:space="preserve">5.2 Unidades de manipulación y almacenaje de mercancías. 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5.2.1 Tipología y normalización de las unidades de manipulación.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5.2.2 Paletización, contenerización y apiladores.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5.3 Equipos y medios para la protección física de la mercancía: envases y embalajes.</w:t>
            </w:r>
          </w:p>
          <w:p w:rsidR="009E5635" w:rsidRPr="009E5635" w:rsidRDefault="009E5635" w:rsidP="00E77826">
            <w:pPr>
              <w:pStyle w:val="Pa43"/>
              <w:ind w:left="348" w:firstLine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5.3.1 Precintos y equipos de señalización.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5.4 Equipos y medios para movimiento de cargas y mercancías en el almacén: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5.4.1Transpalés: características.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5.4.2 Carretillas manuales y automotoras: Características.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5.4.3 Apiladoras: Características.</w:t>
            </w:r>
          </w:p>
          <w:p w:rsidR="009E5635" w:rsidRPr="009E5635" w:rsidRDefault="009E5635" w:rsidP="009E5635">
            <w:pPr>
              <w:ind w:left="348"/>
              <w:rPr>
                <w:rFonts w:ascii="Century Gothic" w:hAnsi="Century Gothic"/>
                <w:sz w:val="22"/>
                <w:szCs w:val="22"/>
              </w:rPr>
            </w:pPr>
          </w:p>
          <w:p w:rsidR="009E5635" w:rsidRPr="00E77826" w:rsidRDefault="009E5635" w:rsidP="00E77826">
            <w:pPr>
              <w:pStyle w:val="Pa46"/>
              <w:numPr>
                <w:ilvl w:val="0"/>
                <w:numId w:val="11"/>
              </w:numPr>
              <w:ind w:left="360"/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Sistemas de identificación, localización y seguimiento de mercancías.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6.1 Identificación, localización y seguimiento de mercancías.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6.1.1 Necesidad y ventajas de los sistemas de identificación y seguimiento.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6.1.2 Control informático de mercancías.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6.2 Codificación y etiquetas.</w:t>
            </w:r>
          </w:p>
          <w:p w:rsidR="009E5635" w:rsidRPr="009E5635" w:rsidRDefault="009E5635" w:rsidP="00E77826">
            <w:pPr>
              <w:pStyle w:val="Pa43"/>
              <w:ind w:left="348" w:firstLine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6.2.1 Tipos de etiquetas.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6.3 Medios: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6.3.1 Terminales de radiofrecuencia: ejemplos de uso.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6.3.2 PDA: ejemplos.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 xml:space="preserve">6.3.3 Lectores de barras: ejemplos. 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 xml:space="preserve">6.4 Terminales portátiles y sistemas de reconocimiento de voz. </w:t>
            </w:r>
          </w:p>
          <w:p w:rsidR="009E5635" w:rsidRPr="009E5635" w:rsidRDefault="009E5635" w:rsidP="009E5635">
            <w:pPr>
              <w:ind w:left="348"/>
              <w:rPr>
                <w:rFonts w:ascii="Century Gothic" w:hAnsi="Century Gothic"/>
                <w:sz w:val="22"/>
                <w:szCs w:val="22"/>
              </w:rPr>
            </w:pPr>
          </w:p>
          <w:p w:rsidR="009E5635" w:rsidRPr="00E77826" w:rsidRDefault="009E5635" w:rsidP="00E77826">
            <w:pPr>
              <w:pStyle w:val="Pa46"/>
              <w:numPr>
                <w:ilvl w:val="0"/>
                <w:numId w:val="11"/>
              </w:numPr>
              <w:ind w:left="360"/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Seguridad y prevención en las operaciones auxiliares de almacenaje.</w:t>
            </w:r>
          </w:p>
          <w:p w:rsidR="009E5635" w:rsidRPr="009E5635" w:rsidRDefault="009E5635" w:rsidP="00E77826">
            <w:pPr>
              <w:pStyle w:val="Pa42"/>
              <w:ind w:left="34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7.1 Riesgos y accidentes habituales en el almacén.</w:t>
            </w:r>
          </w:p>
          <w:p w:rsidR="009E5635" w:rsidRPr="009E5635" w:rsidRDefault="009E5635" w:rsidP="00E77826">
            <w:pPr>
              <w:pStyle w:val="Pa42"/>
              <w:ind w:left="34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 xml:space="preserve">7.2 Adopción de medidas preventivas. </w:t>
            </w:r>
          </w:p>
          <w:p w:rsidR="009E5635" w:rsidRPr="009E5635" w:rsidRDefault="009E5635" w:rsidP="00E77826">
            <w:pPr>
              <w:pStyle w:val="Pa42"/>
              <w:ind w:left="34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7.3 Orden y limpieza en el almacén: entornos de trabajo seguro y saludable.</w:t>
            </w:r>
          </w:p>
          <w:p w:rsidR="009E5635" w:rsidRPr="009E5635" w:rsidRDefault="009E5635" w:rsidP="00E77826">
            <w:pPr>
              <w:pStyle w:val="Pa42"/>
              <w:ind w:left="34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7.4 Hábitos de trabajo y actividades fundamentales.</w:t>
            </w:r>
          </w:p>
          <w:p w:rsidR="009E5635" w:rsidRPr="009E5635" w:rsidRDefault="009E5635" w:rsidP="00E77826">
            <w:pPr>
              <w:pStyle w:val="Pa42"/>
              <w:ind w:left="34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7.5 Limpieza: métodos, equipos y materiales.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7.6 Normas básicas de actuación en caso de emergencias e incendios.</w:t>
            </w:r>
          </w:p>
          <w:p w:rsidR="009E5635" w:rsidRPr="009E5635" w:rsidRDefault="009E5635" w:rsidP="009E5635">
            <w:pPr>
              <w:ind w:left="348"/>
              <w:rPr>
                <w:rFonts w:ascii="Century Gothic" w:hAnsi="Century Gothic"/>
                <w:sz w:val="22"/>
                <w:szCs w:val="22"/>
              </w:rPr>
            </w:pPr>
          </w:p>
          <w:p w:rsidR="009E5635" w:rsidRPr="00E77826" w:rsidRDefault="009E5635" w:rsidP="00E77826">
            <w:pPr>
              <w:pStyle w:val="Pa46"/>
              <w:numPr>
                <w:ilvl w:val="0"/>
                <w:numId w:val="11"/>
              </w:numPr>
              <w:ind w:left="360"/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Mantenimiento de primer nivel de los equipos del almacén.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8.1 Planes de inspección y mantenimiento de los equipos del almacén.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8.1.1 Planes de inspección y mantenimiento: objeto, necesidad y obligatoriedad.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8.1.2 Periodos de garantía e instrucciones del fabricante.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8.1.3 Almacenamiento prolongado: Puesta a punto.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8.1.4 Seguridad y medio ambiente.</w:t>
            </w:r>
          </w:p>
          <w:p w:rsidR="009E5635" w:rsidRPr="009E5635" w:rsidRDefault="009E5635" w:rsidP="009E5635">
            <w:pPr>
              <w:pStyle w:val="Pa4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8.2 Planes de mantenimiento en carretillas: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8.2.1Vida útil de una carretilla: concepto.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8.2.2 Unidades de tracción: motor térmico, eléctrico.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8.2.3 Tren de rodaje: en triciclo, sobre cuatro ruedas.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8.2.4 Detección de anomalías básicas.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8.2.5 Montaje y desmontaje de piezas.</w:t>
            </w:r>
          </w:p>
          <w:p w:rsidR="009E5635" w:rsidRPr="009E5635" w:rsidRDefault="009E5635" w:rsidP="00E77826">
            <w:pPr>
              <w:pStyle w:val="Pa43"/>
              <w:ind w:left="105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8.2.6 Recambios y operaciones habituales de mantenimiento.</w:t>
            </w:r>
          </w:p>
          <w:p w:rsidR="009E5635" w:rsidRPr="009E5635" w:rsidRDefault="009E5635" w:rsidP="009E5635">
            <w:pPr>
              <w:pStyle w:val="Pa32"/>
              <w:ind w:left="3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>8.3 Recomendaciones y medidas de prevención de las carretillas en entornos especiales:</w:t>
            </w:r>
          </w:p>
          <w:p w:rsidR="009E5635" w:rsidRPr="009E5635" w:rsidRDefault="009E5635" w:rsidP="009E5635">
            <w:pPr>
              <w:pStyle w:val="Pa43"/>
              <w:ind w:left="105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/>
                <w:sz w:val="22"/>
                <w:szCs w:val="22"/>
              </w:rPr>
              <w:t xml:space="preserve">8.3.1 Mercancías peligrosas. </w:t>
            </w:r>
          </w:p>
          <w:p w:rsidR="009E5635" w:rsidRPr="009E5635" w:rsidRDefault="009E5635" w:rsidP="009E5635">
            <w:pPr>
              <w:ind w:left="1056"/>
              <w:rPr>
                <w:rFonts w:ascii="Century Gothic" w:hAnsi="Century Gothic" w:cs="Arial"/>
                <w:sz w:val="22"/>
                <w:szCs w:val="22"/>
              </w:rPr>
            </w:pPr>
            <w:r w:rsidRPr="009E5635">
              <w:rPr>
                <w:rStyle w:val="A1"/>
                <w:rFonts w:ascii="Century Gothic" w:hAnsi="Century Gothic" w:cs="Arial"/>
                <w:sz w:val="22"/>
                <w:szCs w:val="22"/>
              </w:rPr>
              <w:t>8.3.2 Grandes volúmenes.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864" w:rsidRDefault="00166864">
      <w:r>
        <w:separator/>
      </w:r>
    </w:p>
  </w:endnote>
  <w:endnote w:type="continuationSeparator" w:id="1">
    <w:p w:rsidR="00166864" w:rsidRDefault="0016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7C0E43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864" w:rsidRDefault="00166864">
      <w:r>
        <w:separator/>
      </w:r>
    </w:p>
  </w:footnote>
  <w:footnote w:type="continuationSeparator" w:id="1">
    <w:p w:rsidR="00166864" w:rsidRDefault="00166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2652AE"/>
    <w:multiLevelType w:val="hybridMultilevel"/>
    <w:tmpl w:val="A1F238B8"/>
    <w:lvl w:ilvl="0" w:tplc="0C0A000F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66864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424BA"/>
    <w:rsid w:val="006F0875"/>
    <w:rsid w:val="00734FAA"/>
    <w:rsid w:val="00757E95"/>
    <w:rsid w:val="007949A4"/>
    <w:rsid w:val="007B04DA"/>
    <w:rsid w:val="007C0E43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9E5635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77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9E5635"/>
    <w:rPr>
      <w:color w:val="000000"/>
      <w:sz w:val="20"/>
      <w:szCs w:val="20"/>
    </w:rPr>
  </w:style>
  <w:style w:type="paragraph" w:customStyle="1" w:styleId="Pa41">
    <w:name w:val="Pa41"/>
    <w:basedOn w:val="Normal"/>
    <w:next w:val="Normal"/>
    <w:uiPriority w:val="99"/>
    <w:rsid w:val="009E5635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42">
    <w:name w:val="Pa42"/>
    <w:basedOn w:val="Normal"/>
    <w:next w:val="Normal"/>
    <w:uiPriority w:val="99"/>
    <w:rsid w:val="009E5635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43">
    <w:name w:val="Pa43"/>
    <w:basedOn w:val="Normal"/>
    <w:next w:val="Normal"/>
    <w:uiPriority w:val="99"/>
    <w:rsid w:val="009E5635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45">
    <w:name w:val="Pa45"/>
    <w:basedOn w:val="Normal"/>
    <w:next w:val="Normal"/>
    <w:uiPriority w:val="99"/>
    <w:rsid w:val="009E5635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46">
    <w:name w:val="Pa46"/>
    <w:basedOn w:val="Normal"/>
    <w:next w:val="Normal"/>
    <w:uiPriority w:val="99"/>
    <w:rsid w:val="009E5635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32">
    <w:name w:val="Pa32"/>
    <w:basedOn w:val="Normal"/>
    <w:next w:val="Normal"/>
    <w:uiPriority w:val="99"/>
    <w:rsid w:val="009E5635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styleId="Prrafodelista">
    <w:name w:val="List Paragraph"/>
    <w:basedOn w:val="Normal"/>
    <w:uiPriority w:val="34"/>
    <w:qFormat/>
    <w:rsid w:val="009E56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5177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2015-07-27T16:59:00Z</dcterms:created>
  <dcterms:modified xsi:type="dcterms:W3CDTF">2016-01-19T09:11:00Z</dcterms:modified>
</cp:coreProperties>
</file>