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6412D6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6412D6">
              <w:rPr>
                <w:rFonts w:ascii="Century Gothic" w:hAnsi="Century Gothic" w:cs="Tahoma"/>
                <w:b/>
                <w:sz w:val="34"/>
                <w:szCs w:val="34"/>
              </w:rPr>
              <w:t>INTRODUCCIÓN A LA CONTABILIDAD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Pr="00816E63" w:rsidRDefault="006412D6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-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Alcanzar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los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conocimientos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básicos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para el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desarrollo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la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gestión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contable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la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empresa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mediante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realización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inventarios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asientos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contables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anotaciones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en el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Libro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Diario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Mayor,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así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como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la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confección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del Balance de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comprobación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de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sumas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 y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saldos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 xml:space="preserve">, Balance general y Balance de </w:t>
            </w:r>
            <w:proofErr w:type="spellStart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situación</w:t>
            </w:r>
            <w:proofErr w:type="spellEnd"/>
            <w:r w:rsidRPr="006412D6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6412D6" w:rsidRDefault="006412D6" w:rsidP="006412D6">
            <w:pPr>
              <w:pStyle w:val="NormalWeb"/>
              <w:rPr>
                <w:rStyle w:val="Textoennegrita"/>
                <w:rFonts w:ascii="Century Gothic" w:hAnsi="Century Gothic" w:cs="Helvetica"/>
                <w:b w:val="0"/>
                <w:sz w:val="22"/>
                <w:szCs w:val="22"/>
              </w:rPr>
            </w:pP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El inventario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 empresa y la contabilidad 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Concepto y elementos del inventario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Elementos que componen el Activo y el Pasivo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Concepto de capital líquido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El libro de inventarios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Los hechos contables y sus clases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Inventarios sucesivos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Los hechos contables. Clases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Las cuentas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Definición de cuentas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La partida doble. Principios fundamentales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Concepto de cargo y abono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Elaboración del balance de comprobación de sumas y saldos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Anexo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Análisis de las cuentas de Activo y Pasivo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Características generales de las cuentas de Activo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Motivos de cargo y abono de las principales cuentas de Activo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Características generales de las cuentas de Pasivo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Motivos de cargo y abono de las principales cuentas de Pasivo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Clasificación de las cuentas patrimoniales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Análisis de las cuentas de gestión y de resultados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Cuentas de gestión y resultados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Motivos de cargo y abono de las principales cuentas de gestión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Motivos de cargo y abono de la cuenta general de resultados</w:t>
            </w:r>
          </w:p>
          <w:p w:rsidR="006412D6" w:rsidRDefault="006412D6" w:rsidP="006412D6">
            <w:pPr>
              <w:pStyle w:val="NormalWeb"/>
              <w:rPr>
                <w:rStyle w:val="Textoennegrita"/>
                <w:rFonts w:ascii="Century Gothic" w:hAnsi="Century Gothic" w:cs="Helvetica"/>
                <w:b w:val="0"/>
                <w:sz w:val="22"/>
                <w:szCs w:val="22"/>
              </w:rPr>
            </w:pP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El libro diario. El ciclo contable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Características y estructura del libro Diario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Los asientos en el libro Diario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Contabilización de los asientos en el libro Diario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Transcripción de asientos al libro Mayor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Asientos de regularización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Asiento de cierre.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Asiento de reapertura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El desarrollo contable (I)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de una compra de mercaderías a crédito. Introducción al IVA 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de una compra de inmovilizado a crédito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de una compra de servicio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de una venta de mercaderías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Cancelación y liquidación del IVA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El desarrollo contable (II)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y asientos de pago a terceros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de una negociación de efectos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de una domiciliación de recibos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El desarrollo contable (III)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Contabilización conjunta de nóminas y Seguros Sociales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y asientos en el Diario de varias nóminas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Análisis y asientos en el Diario por pagos de nóminas y seguros sociales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Fin del ciclo contable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 xml:space="preserve">La </w:t>
            </w:r>
            <w:proofErr w:type="spellStart"/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t>periodificación</w:t>
            </w:r>
            <w:proofErr w:type="spellEnd"/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t xml:space="preserve"> contable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Contabilización de las amortizaciones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Los asientos de regularización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El asiento de cierre</w:t>
            </w:r>
          </w:p>
          <w:p w:rsidR="006412D6" w:rsidRPr="006412D6" w:rsidRDefault="006412D6" w:rsidP="006412D6">
            <w:pPr>
              <w:pStyle w:val="NormalWeb"/>
              <w:rPr>
                <w:rFonts w:ascii="Century Gothic" w:hAnsi="Century Gothic" w:cs="Helvetica"/>
                <w:bCs/>
                <w:sz w:val="22"/>
                <w:szCs w:val="22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El libro mayor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Funciones, aspectos legales y generalidades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Estructura del libro Mayor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Transcripción al libro Mayor 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Índice del libro Mayor 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Ejemplos prácticos</w:t>
            </w:r>
          </w:p>
          <w:p w:rsidR="00283B7E" w:rsidRPr="006412D6" w:rsidRDefault="006412D6" w:rsidP="006412D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  <w:r w:rsidRPr="006412D6">
              <w:rPr>
                <w:rStyle w:val="Textoennegrita"/>
                <w:rFonts w:ascii="Century Gothic" w:hAnsi="Century Gothic" w:cs="Helvetica"/>
                <w:sz w:val="22"/>
                <w:szCs w:val="22"/>
              </w:rPr>
              <w:t>Los balances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Los Balances contables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Balance de comprobación de sumas y saldos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Balance general</w:t>
            </w:r>
            <w:r w:rsidRPr="006412D6">
              <w:rPr>
                <w:rFonts w:ascii="Century Gothic" w:hAnsi="Century Gothic" w:cs="Helvetica"/>
                <w:bCs/>
                <w:sz w:val="22"/>
                <w:szCs w:val="22"/>
              </w:rPr>
              <w:br/>
              <w:t>Balance de situación</w:t>
            </w:r>
          </w:p>
          <w:p w:rsidR="009D29DB" w:rsidRPr="006412D6" w:rsidRDefault="009D29DB" w:rsidP="006412D6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C22C55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C55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412D6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22C55"/>
    <w:rsid w:val="00C4725B"/>
    <w:rsid w:val="00C702CC"/>
    <w:rsid w:val="00C72668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3</TotalTime>
  <Pages>2</Pages>
  <Words>401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2625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2017-09-05T16:37:00Z</dcterms:modified>
</cp:coreProperties>
</file>